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51D" w14:textId="6D31E1E6" w:rsidR="00A80F9B" w:rsidRPr="00473602" w:rsidRDefault="00473602" w:rsidP="00473602">
      <w:pPr>
        <w:pStyle w:val="Odlomakpopisa"/>
        <w:numPr>
          <w:ilvl w:val="0"/>
          <w:numId w:val="14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473602">
        <w:rPr>
          <w:rFonts w:ascii="Calibri" w:hAnsi="Calibri" w:cs="Calibri"/>
          <w:b/>
          <w:bCs/>
          <w:sz w:val="28"/>
          <w:szCs w:val="28"/>
        </w:rPr>
        <w:t>Kratki presjek izgleda obrazloženja</w:t>
      </w:r>
    </w:p>
    <w:p w14:paraId="3C16B999" w14:textId="77777777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OBRAZLOŽENJE PRIJEDLOGA FINANCIJSKOG PLANA </w:t>
      </w:r>
    </w:p>
    <w:p w14:paraId="4EDAE7D1" w14:textId="1977A0D8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RAZDOBLJE 202</w:t>
      </w:r>
      <w:r w:rsidR="00042094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 -202</w:t>
      </w:r>
      <w:r w:rsidR="00042094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6710B9BC" w14:textId="33E0303C" w:rsidR="00A80F9B" w:rsidRPr="00984B4C" w:rsidRDefault="00A80F9B" w:rsidP="00A80F9B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RAZDJEL: </w:t>
      </w:r>
      <w:r w:rsidR="00984B4C" w:rsidRPr="00984B4C">
        <w:rPr>
          <w:b/>
          <w:bCs/>
          <w:color w:val="000000" w:themeColor="text1"/>
        </w:rPr>
        <w:t>002 UPRAVNI ODJEL ZA FINANCIJE, TURIZAM I GOSPODARSTVO</w:t>
      </w:r>
    </w:p>
    <w:p w14:paraId="00A02084" w14:textId="7DCA2EFB" w:rsidR="00984B4C" w:rsidRPr="00984B4C" w:rsidRDefault="00A80F9B" w:rsidP="00984B4C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984B4C">
        <w:rPr>
          <w:b/>
          <w:bCs/>
          <w:color w:val="000000" w:themeColor="text1"/>
        </w:rPr>
        <w:t xml:space="preserve">GLAVA: </w:t>
      </w:r>
      <w:r w:rsidR="00984B4C" w:rsidRPr="00984B4C">
        <w:rPr>
          <w:b/>
          <w:bCs/>
          <w:color w:val="000000" w:themeColor="text1"/>
        </w:rPr>
        <w:t>00201 UPRAVNI ODJEL ZA FINANCIJE, TURIZAM I GOSPODARSTVO</w:t>
      </w:r>
    </w:p>
    <w:p w14:paraId="670515B7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491F0451" w14:textId="77777777" w:rsidR="00A80F9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p w14:paraId="45F57469" w14:textId="77777777" w:rsidR="00A80F9B" w:rsidRPr="00CD68DB" w:rsidRDefault="00A80F9B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3E2D5C" w14:paraId="3F2E5895" w14:textId="77777777" w:rsidTr="00BF4D1C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81AD" w14:textId="77777777" w:rsidR="00042094" w:rsidRPr="00605DFE" w:rsidRDefault="00042094" w:rsidP="00042094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 xml:space="preserve">Upravni odjel za financije, turizam  i gospodarstvo  osnovan je  Odlukom o ustrojstvu i djelokrugu Gradske uprave Grada Crikvenice (Sl. novine PGŽ 39/13.) kojom su propisani njegovi poslovi i zadaci.  </w:t>
            </w:r>
          </w:p>
          <w:p w14:paraId="735C99A5" w14:textId="77777777" w:rsidR="00042094" w:rsidRDefault="00042094" w:rsidP="000420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05DFE">
              <w:rPr>
                <w:rFonts w:ascii="Arial" w:hAnsi="Arial" w:cs="Arial"/>
                <w:sz w:val="18"/>
                <w:szCs w:val="18"/>
              </w:rPr>
              <w:t>Neki od osnovnih poslova i zadataka su: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7F39F0" w14:textId="77777777" w:rsidR="00042094" w:rsidRPr="00BF4D1C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4D1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Obavljanje poslova fakturiranja i evidencije  izvornih proračunskih prihoda </w:t>
            </w:r>
          </w:p>
          <w:p w14:paraId="25DE94B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Obavljanje poslova obračuna plaća, naknada i platnog prometa i blagajničkog poslovanja</w:t>
            </w:r>
          </w:p>
          <w:p w14:paraId="66FBF2D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Vođenje knjigovodstvene evidencije o izvršavanju proračuna, te ostale propisane knjigovodstvene evidencije</w:t>
            </w:r>
          </w:p>
          <w:p w14:paraId="6AA105F0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predlaganje mjera za povećanje prihoda i poboljšanja stanja naplate svih javnih prihoda gradskog proračuna</w:t>
            </w:r>
          </w:p>
          <w:p w14:paraId="3E6DB97B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Sastavljanje prijedloga proračuna, njegovih izmjena tijekom godine, polugodišnjeg i godišnjeg obračuna te pratećih dokumenata</w:t>
            </w:r>
          </w:p>
          <w:p w14:paraId="12716FBD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Praćenje, nadzor i razlučivanje izvršavanja rashoda proračuna</w:t>
            </w:r>
          </w:p>
          <w:p w14:paraId="24D86726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mjera radi racionalizacije rashoda</w:t>
            </w:r>
          </w:p>
          <w:p w14:paraId="1CF9ED35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Pripremanje specijaliziranih financijskih izvješća radi potpore odlučivanju </w:t>
            </w:r>
          </w:p>
          <w:p w14:paraId="3B0DB9E9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Organizaciju informacijskog sustava Grada</w:t>
            </w:r>
          </w:p>
          <w:p w14:paraId="18A1E734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Praćenje gospodarskih i društvenih kretanja na području Grada Crikvenice</w:t>
            </w:r>
          </w:p>
          <w:p w14:paraId="162F7B47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>Predlaganje i praćenje mjera za poticanje poduzetništva</w:t>
            </w:r>
          </w:p>
          <w:p w14:paraId="36990DEA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investicija, priprema projekata za kandidiranje na javne pozive, </w:t>
            </w:r>
          </w:p>
          <w:p w14:paraId="28B7898C" w14:textId="77777777" w:rsidR="00042094" w:rsidRPr="00605DFE" w:rsidRDefault="00042094" w:rsidP="0004209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5DF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Praćenje rada trgovačkih društava  u vlasništvu i suvlasništvu Grada Crikvenice </w:t>
            </w:r>
          </w:p>
          <w:p w14:paraId="0A06BA86" w14:textId="24249AE6" w:rsidR="00A80F9B" w:rsidRPr="008B546D" w:rsidRDefault="00042094" w:rsidP="00042094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B546D">
              <w:rPr>
                <w:rFonts w:ascii="Arial" w:hAnsi="Arial" w:cs="Arial"/>
                <w:color w:val="000000" w:themeColor="text1"/>
                <w:sz w:val="18"/>
                <w:szCs w:val="18"/>
              </w:rPr>
              <w:t>Surađuje sa turističkom zajednicom i obavlja stručne i druge poslove vezane uz turizam iz nadležnosti Grada Crikvenice itd</w:t>
            </w:r>
          </w:p>
        </w:tc>
      </w:tr>
    </w:tbl>
    <w:p w14:paraId="31A0B74A" w14:textId="7DA46E31" w:rsidR="00E01555" w:rsidRDefault="00E01555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20E014C7" w14:textId="488A3E48" w:rsidR="00E01555" w:rsidRPr="00FB1F05" w:rsidRDefault="00E01555" w:rsidP="00E01555">
      <w:pPr>
        <w:spacing w:after="0"/>
        <w:ind w:left="360"/>
        <w:rPr>
          <w:rFonts w:ascii="Times New Roman" w:hAnsi="Times New Roman" w:cs="Times New Roman"/>
          <w:b/>
          <w:sz w:val="24"/>
        </w:rPr>
      </w:pPr>
      <w:r w:rsidRPr="00E01555">
        <w:rPr>
          <w:rFonts w:ascii="Arial" w:hAnsi="Arial" w:cs="Arial"/>
          <w:b/>
          <w:bCs/>
          <w:i/>
          <w:iCs/>
          <w:sz w:val="24"/>
          <w:szCs w:val="24"/>
        </w:rPr>
        <w:t>OPĆI DIO PRORAČUNA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4F89DCCD" w14:textId="77777777" w:rsidR="00E01555" w:rsidRDefault="00E01555" w:rsidP="00E01555">
      <w:pPr>
        <w:spacing w:after="0"/>
        <w:rPr>
          <w:rFonts w:ascii="Times New Roman" w:hAnsi="Times New Roman" w:cs="Times New Roman"/>
          <w:b/>
          <w:sz w:val="24"/>
        </w:rPr>
      </w:pPr>
    </w:p>
    <w:p w14:paraId="093A64BD" w14:textId="68ECE960" w:rsidR="004B0CE4" w:rsidRDefault="00E01555" w:rsidP="004B0CE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F2365B">
        <w:rPr>
          <w:rFonts w:ascii="Times New Roman" w:hAnsi="Times New Roman" w:cs="Times New Roman"/>
          <w:b/>
          <w:sz w:val="24"/>
        </w:rPr>
        <w:t xml:space="preserve">RAČUN RASHODA PREMA EKONOMSKOJ KLASIFIKACIJI I IZVORIMA FINANCIRANJA NA RAZINI PODSKUPINE (2RAZINI PLANA)  </w:t>
      </w:r>
    </w:p>
    <w:p w14:paraId="43927900" w14:textId="77777777" w:rsidR="00005480" w:rsidRDefault="00005480" w:rsidP="00063B1C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1781" w:type="dxa"/>
        <w:tblInd w:w="-1134" w:type="dxa"/>
        <w:tblLook w:val="04A0" w:firstRow="1" w:lastRow="0" w:firstColumn="1" w:lastColumn="0" w:noHBand="0" w:noVBand="1"/>
      </w:tblPr>
      <w:tblGrid>
        <w:gridCol w:w="2269"/>
        <w:gridCol w:w="1417"/>
        <w:gridCol w:w="1151"/>
        <w:gridCol w:w="1151"/>
        <w:gridCol w:w="1239"/>
        <w:gridCol w:w="1239"/>
        <w:gridCol w:w="928"/>
        <w:gridCol w:w="821"/>
        <w:gridCol w:w="821"/>
        <w:gridCol w:w="745"/>
      </w:tblGrid>
      <w:tr w:rsidR="004B0CE4" w:rsidRPr="004B0CE4" w14:paraId="05EB2F4E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63E1" w14:textId="77777777" w:rsidR="004B0CE4" w:rsidRPr="004B0CE4" w:rsidRDefault="004B0CE4" w:rsidP="004B0CE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719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EF23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10A5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5865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D4FC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PROJEKCIJA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AD86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CFAF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5CE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7B62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INDEKS</w:t>
            </w:r>
          </w:p>
        </w:tc>
      </w:tr>
      <w:tr w:rsidR="004B0CE4" w:rsidRPr="004B0CE4" w14:paraId="1A32CE22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688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D3EF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651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36EF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F1C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A850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AEF2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685C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6139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8C57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</w:t>
            </w:r>
          </w:p>
        </w:tc>
      </w:tr>
      <w:tr w:rsidR="004B0CE4" w:rsidRPr="004B0CE4" w14:paraId="2B297005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B0D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F9D2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01.01.2021. - 31.12.2021.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DA76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AD4B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FA93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B8F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2025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34D8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(2/1)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F86C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(3/2)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F25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(4/3)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F847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(5/4)</w:t>
            </w:r>
          </w:p>
        </w:tc>
      </w:tr>
      <w:tr w:rsidR="004B0CE4" w:rsidRPr="004B0CE4" w14:paraId="18D3F738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3A71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UKUPNO RASHODI / IZDACI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FDF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2.843.887,49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720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2.845.889,54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32A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3.159.090,69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8AB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3.226.190,69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31A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3.236.990,69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81D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0B1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111,01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12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102,12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544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100,33</w:t>
            </w:r>
          </w:p>
        </w:tc>
      </w:tr>
      <w:tr w:rsidR="004B0CE4" w:rsidRPr="004B0CE4" w14:paraId="65080DAE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BFE781" w14:textId="2E87D8CA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Razdjel 00</w:t>
            </w:r>
            <w:r w:rsidR="00DD631D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</w:t>
            </w: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 xml:space="preserve"> UPRAVNI ODJEL ZA FINANCIJE, TURIZAM I GOSPODARSTVO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20F04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2.843.887,49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AE479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2.845.889,54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CE1A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3.159.090,69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6A1BF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3.226.190,69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C07B9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3.236.990,69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52698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100,07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A7753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111,01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048FE5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102,12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5272B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100,33</w:t>
            </w:r>
          </w:p>
        </w:tc>
      </w:tr>
      <w:tr w:rsidR="004B0CE4" w:rsidRPr="004B0CE4" w14:paraId="5073E7C1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01AA53" w14:textId="5BBF3446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Glava 00</w:t>
            </w:r>
            <w:r w:rsidR="00DD631D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</w:t>
            </w: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01 UPRAVNI ODJEL ZA FINANCIJE, TURIZAM I GOSPODARSTVO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EFEB0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2.843.887,49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1819D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2.845.889,54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A488E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3.159.090,69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23DA8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3.226.190,69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8469F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3.236.990,69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E2875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100,07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6F078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111,01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8151C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102,12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2A7FC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100,33</w:t>
            </w:r>
          </w:p>
        </w:tc>
      </w:tr>
      <w:tr w:rsidR="004B0CE4" w:rsidRPr="004B0CE4" w14:paraId="5866CC63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AC63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FA3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1.112.113,04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51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1.179.242,16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340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1.363.000,00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A06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1.458.000,00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59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1.483.000,00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D50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B04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115,58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73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106,97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9C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101,71</w:t>
            </w:r>
          </w:p>
        </w:tc>
      </w:tr>
      <w:tr w:rsidR="004B0CE4" w:rsidRPr="004B0CE4" w14:paraId="1B33F42B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BD04C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2E7C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1.112.113,04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1793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1.179.242,16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3B28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1.363.000,00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4E1C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1.458.000,00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398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1.483.000,00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E6075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106,04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5848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115,58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91D2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106,97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06EB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101,71</w:t>
            </w:r>
          </w:p>
        </w:tc>
      </w:tr>
      <w:tr w:rsidR="004B0CE4" w:rsidRPr="004B0CE4" w14:paraId="55932CE0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2AC401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5.1. TEKUĆE POMOĆI IZ DRŽAVNOG PRORAČUNA  I IZVANPRO. KOR DRŽAV.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E1E8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6C5F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4634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12560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AB78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DEF13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774C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72AC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20777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4B0CE4" w:rsidRPr="004B0CE4" w14:paraId="7F18C495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6CC3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3C8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209.147,80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9A2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280.958,25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AFF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E3E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F57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54B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71D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114,15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DC4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D4C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70415826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A96B7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lastRenderedPageBreak/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4DDC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209.147,80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DA39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280.958,25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8BDF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C100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FED4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320.700,00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0FA07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134,33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8C4BA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114,15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0002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24C2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3C1340BB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44D5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6C1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125.172,62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21A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143.408,95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AEF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148.600,00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863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134.450,00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3E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120.800,00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711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114,57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6D9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103,62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81A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90,48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016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89,85</w:t>
            </w:r>
          </w:p>
        </w:tc>
      </w:tr>
      <w:tr w:rsidR="004B0CE4" w:rsidRPr="004B0CE4" w14:paraId="121B232A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12E2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C56D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125.172,62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C882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143.408,95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FA79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148.600,00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D35E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134.450,00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8D36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120.800,00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2E82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114,57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F1739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103,62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D558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90,48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61F4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89,85</w:t>
            </w:r>
          </w:p>
        </w:tc>
      </w:tr>
      <w:tr w:rsidR="004B0CE4" w:rsidRPr="004B0CE4" w14:paraId="4CECD8E7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E76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35 Subvencije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544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159.443,28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896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179.834,09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0B2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176.800,00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F0F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176.250,00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832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175.700,00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3A9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27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98,31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91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99,69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061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99,69</w:t>
            </w:r>
          </w:p>
        </w:tc>
      </w:tr>
      <w:tr w:rsidR="004B0CE4" w:rsidRPr="004B0CE4" w14:paraId="542F027F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49FE5E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3DE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159.443,28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AED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179.834,09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591E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176.800,00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C271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176.250,00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53A3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175.700,00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7DA5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112,79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407E4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98,31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8F32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99,69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53A6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99,69</w:t>
            </w:r>
          </w:p>
        </w:tc>
      </w:tr>
      <w:tr w:rsidR="004B0CE4" w:rsidRPr="004B0CE4" w14:paraId="20EEC60A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A3FF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29A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D87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663,61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1D2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404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A7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B43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65B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90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49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17C639D6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0206E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8C60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20D9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663,61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0498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07FB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BFEBD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6791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F17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105,48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7F767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EF8B7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6A0FD0E9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5E9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38 Ostali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F3D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21.368,37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61C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33.180,70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E5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DBF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004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8FC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155,28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C0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110,00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A1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DC2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63193611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36A79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4.3. TURISTIČKA PRISTOJBA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8921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21.368,37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9C9B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33.180,70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0D066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BF78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4133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36.500,00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30E8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155,28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07B0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C814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9450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5615B9C6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09EF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F4E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18.514,81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556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50.434,67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2FB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53.200,00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A81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427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40.000,00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89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272,40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EE7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105,48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356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75,19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72E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1C411492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4CC4E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E8AF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18.514,81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66CF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17.253,97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CF18F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DC8B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B1B6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649E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93,19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E11E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115,92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10BA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9E05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354DA6DD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13098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7.3. OSTALI PRIHODI OD NEFINANCIJSKE IMOVINE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1EAF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FFD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33.180,70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2E43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33.200,00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921E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85E57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20.000,00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1FF7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73741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3A799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60,24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775C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15594C77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2AC6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54 Izdaci za otplatu glavnice primljenih kredita i zajmova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DA8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1.198.127,57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41F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978.167,11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01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1.059.590,69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C70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1.059.590,69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4BF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1.059.590,69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C05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81,64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840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108,32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FA7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B5C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0D2AD9F2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73B7D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1DE1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1.190.375,03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82BEB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482.572,00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C98C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272.600,00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DD9A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1.032.600,00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3502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1.032.600,00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5DCE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40,54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763E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56,49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F74C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378,80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0899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4B0CE4" w:rsidRPr="004B0CE4" w14:paraId="02A84DE4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7D109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7.3. OSTALI PRIHODI OD NEFINANCIJSKE IMOVINE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B21F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1.116,40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3809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475.240,56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9C62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760.000,00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2913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9D1C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1C79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42.569,02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2AED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159,92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56E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5C6C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4B0CE4" w:rsidRPr="004B0CE4" w14:paraId="42238384" w14:textId="77777777" w:rsidTr="00CF789D">
        <w:trPr>
          <w:trHeight w:val="2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0C5C6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Izvor 8.1. OSTALI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FFB4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6.636,14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77BB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20.354,55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188F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26.990,69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0977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26.990,69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F965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26.990,69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08110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306,72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1209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132,60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B9B5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3BC1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4B0C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</w:tbl>
    <w:p w14:paraId="4CB9B2C7" w14:textId="68EA8D44" w:rsidR="00D67C04" w:rsidRDefault="00D67C04" w:rsidP="00005480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p w14:paraId="720C56A2" w14:textId="77777777" w:rsidR="00D67C04" w:rsidRPr="00D67C04" w:rsidRDefault="00D67C04" w:rsidP="00D67C04">
      <w:pPr>
        <w:spacing w:after="0"/>
        <w:rPr>
          <w:rFonts w:ascii="Times New Roman" w:hAnsi="Times New Roman" w:cs="Times New Roman"/>
          <w:b/>
          <w:sz w:val="24"/>
        </w:rPr>
      </w:pPr>
    </w:p>
    <w:p w14:paraId="2D2C76BA" w14:textId="0800CD29" w:rsidR="00E01555" w:rsidRPr="004B0CE4" w:rsidRDefault="00E01555" w:rsidP="00663115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4B0CE4">
        <w:rPr>
          <w:rFonts w:ascii="Times New Roman" w:hAnsi="Times New Roman" w:cs="Times New Roman"/>
          <w:b/>
          <w:sz w:val="24"/>
        </w:rPr>
        <w:t xml:space="preserve">FINANCIJSKI PLAN PO FUNKCIJSKOJ KLASIFIKACIJI   </w:t>
      </w:r>
    </w:p>
    <w:tbl>
      <w:tblPr>
        <w:tblW w:w="11466" w:type="dxa"/>
        <w:tblInd w:w="-1276" w:type="dxa"/>
        <w:tblLook w:val="04A0" w:firstRow="1" w:lastRow="0" w:firstColumn="1" w:lastColumn="0" w:noHBand="0" w:noVBand="1"/>
      </w:tblPr>
      <w:tblGrid>
        <w:gridCol w:w="1985"/>
        <w:gridCol w:w="1863"/>
        <w:gridCol w:w="1151"/>
        <w:gridCol w:w="1151"/>
        <w:gridCol w:w="1203"/>
        <w:gridCol w:w="1203"/>
        <w:gridCol w:w="812"/>
        <w:gridCol w:w="812"/>
        <w:gridCol w:w="812"/>
        <w:gridCol w:w="812"/>
      </w:tblGrid>
      <w:tr w:rsidR="004B0CE4" w:rsidRPr="004B0CE4" w14:paraId="1320F536" w14:textId="77777777" w:rsidTr="004B0CE4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F27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4D38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0CD9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C0D0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DF8D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04F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PROJEKCIJA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196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E560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849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8FB5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INDEKS</w:t>
            </w:r>
          </w:p>
        </w:tc>
      </w:tr>
      <w:tr w:rsidR="004B0CE4" w:rsidRPr="004B0CE4" w14:paraId="4BC7E896" w14:textId="77777777" w:rsidTr="004B0CE4">
        <w:trPr>
          <w:trHeight w:val="2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BE604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19A5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 (€)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A1E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 (€)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5E3B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 (€)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ABF7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 (€)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4DB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 (€)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2C07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0AC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F5B8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58A1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</w:t>
            </w:r>
          </w:p>
        </w:tc>
      </w:tr>
      <w:tr w:rsidR="004B0CE4" w:rsidRPr="004B0CE4" w14:paraId="191C0A40" w14:textId="77777777" w:rsidTr="004B0CE4">
        <w:trPr>
          <w:trHeight w:val="20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A300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0F0A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01.01.2021. - 31.12.2021.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DCE3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934E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02EF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5E5E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2A4B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(2/1)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5989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(3/2)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B1E4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(4/3)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387E" w14:textId="77777777" w:rsidR="004B0CE4" w:rsidRPr="004B0CE4" w:rsidRDefault="004B0CE4" w:rsidP="004B0C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(5/4)</w:t>
            </w:r>
          </w:p>
        </w:tc>
      </w:tr>
      <w:tr w:rsidR="004B0CE4" w:rsidRPr="004B0CE4" w14:paraId="4DBE8B62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C1EFDF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002 UPRAVNI ODJEL ZA FINANCIJE, TURIZAM I GOSPODARSTVO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1C27D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2.843.887,51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301C5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BB53C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88BE0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EFAF4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23CCE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785D6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111,01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A548E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EAE778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100,33</w:t>
            </w:r>
          </w:p>
        </w:tc>
      </w:tr>
      <w:tr w:rsidR="004B0CE4" w:rsidRPr="004B0CE4" w14:paraId="18FC75A9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F60F90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00201 UPRAVNI ODJEL ZA FINANCIJE, TURIZAM I GOSPODARSTVO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BFBC6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2.843.887,51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ACE636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108711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E6960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1595BB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1DF9F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0AE95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111,01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A7B25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102,12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24CE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100,33</w:t>
            </w:r>
          </w:p>
        </w:tc>
      </w:tr>
      <w:tr w:rsidR="004B0CE4" w:rsidRPr="004B0CE4" w14:paraId="46139448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83A9C07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FUNKCIJSKA KLASIFIKACIJA 01 Opće javne usluge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80906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1.455.639,18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E305EB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1.607.060,16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0ADDFC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1.838.550,00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96DCA1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1.919.400,00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3EE285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1.930.750,00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28FACC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CE57B69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ABC288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F6AFA5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100,59</w:t>
            </w:r>
          </w:p>
        </w:tc>
      </w:tr>
      <w:tr w:rsidR="004B0CE4" w:rsidRPr="004B0CE4" w14:paraId="2FF30CC1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678B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341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1.455.639,18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FBB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1.607.060,16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9A5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1.838.550,00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C2D1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1.919.400,00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AE7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1.930.750,00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92E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633A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AFB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EA7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100,59</w:t>
            </w:r>
          </w:p>
        </w:tc>
      </w:tr>
      <w:tr w:rsidR="004B0CE4" w:rsidRPr="004B0CE4" w14:paraId="3F46B070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A3D1854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FUNKCIJSKA KLASIFIKACIJA 04 Ekonomski poslovi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4DAFFE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190.120,76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99328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260.662,27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033435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260.950,00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9AA17F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247.200,00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658E7C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246.650,00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C17F047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D69CDB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F053A4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6986425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99,78</w:t>
            </w:r>
          </w:p>
        </w:tc>
      </w:tr>
      <w:tr w:rsidR="004B0CE4" w:rsidRPr="004B0CE4" w14:paraId="1D14E136" w14:textId="77777777" w:rsidTr="004B0CE4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017" w14:textId="77777777" w:rsidR="004B0CE4" w:rsidRPr="004B0CE4" w:rsidRDefault="004B0CE4" w:rsidP="004B0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FUNKCIJSKA KLASIFIKACIJA 047 Ostale industrije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5F4F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190.120,76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221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260.662,27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4F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260.950,00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85B4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247.200,00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0E0D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246.650,00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362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137,10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1E90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CCE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94,73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C7A83" w14:textId="77777777" w:rsidR="004B0CE4" w:rsidRPr="004B0CE4" w:rsidRDefault="004B0CE4" w:rsidP="004B0C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4B0CE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99,78</w:t>
            </w:r>
          </w:p>
        </w:tc>
      </w:tr>
    </w:tbl>
    <w:p w14:paraId="2F4B5329" w14:textId="5AF947E2" w:rsidR="00DD631D" w:rsidRDefault="00DD631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28479021" w14:textId="5C711276" w:rsidR="00CF789D" w:rsidRDefault="00CF789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78DE15DA" w14:textId="7AF935FE" w:rsidR="00CF789D" w:rsidRDefault="00CF789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45993D65" w14:textId="22D529BB" w:rsidR="00CF789D" w:rsidRDefault="00CF789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66AE9CD5" w14:textId="53C39688" w:rsidR="00CF789D" w:rsidRDefault="00CF789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1172C29D" w14:textId="7AA0C764" w:rsidR="00CF789D" w:rsidRDefault="00CF789D" w:rsidP="00DD631D">
      <w:pPr>
        <w:spacing w:after="0"/>
        <w:rPr>
          <w:rFonts w:ascii="Times New Roman" w:hAnsi="Times New Roman" w:cs="Times New Roman"/>
          <w:b/>
          <w:sz w:val="24"/>
        </w:rPr>
      </w:pPr>
    </w:p>
    <w:p w14:paraId="4D5A1A84" w14:textId="69925ECA" w:rsidR="00E01555" w:rsidRPr="00DD631D" w:rsidRDefault="00E01555" w:rsidP="00DD631D">
      <w:pPr>
        <w:spacing w:after="0"/>
        <w:rPr>
          <w:rFonts w:ascii="Times New Roman" w:hAnsi="Times New Roman" w:cs="Times New Roman"/>
          <w:b/>
          <w:sz w:val="24"/>
        </w:rPr>
      </w:pPr>
      <w:r w:rsidRPr="00DD631D">
        <w:rPr>
          <w:rFonts w:ascii="Times New Roman" w:hAnsi="Times New Roman" w:cs="Times New Roman"/>
          <w:b/>
          <w:sz w:val="24"/>
        </w:rPr>
        <w:lastRenderedPageBreak/>
        <w:t>OBRAZLOŽENJE OPĆEG DIJELA PRORAČUNA</w:t>
      </w:r>
    </w:p>
    <w:p w14:paraId="14B813CC" w14:textId="77777777" w:rsidR="00E01555" w:rsidRDefault="00E01555" w:rsidP="00E01555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01555" w:rsidRPr="003E2D5C" w14:paraId="618D36A3" w14:textId="77777777" w:rsidTr="007533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ED14" w14:textId="77777777" w:rsidR="00C34EAF" w:rsidRDefault="004B0CE4" w:rsidP="004B0CE4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Kroz daljnje programe i aktivnosti detaljno je obrazloženo na što se planiraju utrošiti rashodi za 2023. do 2025. godinu.</w:t>
            </w:r>
          </w:p>
          <w:p w14:paraId="567E0D2A" w14:textId="13F3B465" w:rsidR="00C34EAF" w:rsidRPr="004B0CE4" w:rsidRDefault="004B0CE4" w:rsidP="004B0CE4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>S obzirom da se prihodi proračuna Grada ne planiraju po upravnim odjelima ovdje nisu niti iskazani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 na razini upravnih odjela</w:t>
            </w:r>
            <w:r w:rsidRPr="004B0CE4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Prihodi proračuna kao opći dio 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>iskazani su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 i obrazloženi u ob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>razloženju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 cjelovitog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 prijedloga proračuna za 2023.-2025. godina i to svi namjenski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>,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 nenamjenski 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i ostali 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>prihodi proračuna koji se uplaćuju u proračun Grada i pripadaju Gradu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>, ali i oni prihodi koji pripadaju proračunskim korisnicima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 Sukladno Zakonu o proračunu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 Upravni odjeli nisu proračunski korisnici u smislu da ostvaruju bilo kakve namjenske, nenamjenske i ostale prihode</w:t>
            </w:r>
            <w:r w:rsidR="008A4102">
              <w:rPr>
                <w:rFonts w:cstheme="minorHAnsi"/>
                <w:color w:val="000000" w:themeColor="text1"/>
                <w:sz w:val="20"/>
                <w:szCs w:val="20"/>
              </w:rPr>
              <w:t xml:space="preserve"> koji predstavljaju prihode tog upravnog odjela</w:t>
            </w:r>
            <w:r w:rsidR="00C34EAF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78E70578" w14:textId="4152BB51" w:rsidR="00C34EAF" w:rsidRDefault="00C34EAF" w:rsidP="00C34EA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Kod planiranja proračuna 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4B0CE4" w:rsidRPr="004B0CE4">
              <w:rPr>
                <w:rFonts w:cstheme="minorHAnsi"/>
                <w:color w:val="000000" w:themeColor="text1"/>
                <w:sz w:val="20"/>
                <w:szCs w:val="20"/>
              </w:rPr>
              <w:t>osebno se planiraju prihodi proračunskih korisnika i to dio koji se odnosi na njih kao vlastiti, namjenski prihodi i slično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>, te su uvršteni u prijedlog proračuna Grada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. Prihodi proračuna kod korisnika </w:t>
            </w:r>
            <w:r w:rsidR="004B0CE4">
              <w:rPr>
                <w:rFonts w:cstheme="minorHAnsi"/>
                <w:color w:val="000000" w:themeColor="text1"/>
                <w:sz w:val="20"/>
                <w:szCs w:val="20"/>
              </w:rPr>
              <w:t>planiraju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se </w:t>
            </w:r>
            <w:r w:rsidR="004B0CE4">
              <w:rPr>
                <w:rFonts w:cstheme="minorHAnsi"/>
                <w:color w:val="000000" w:themeColor="text1"/>
                <w:sz w:val="20"/>
                <w:szCs w:val="20"/>
              </w:rPr>
              <w:t xml:space="preserve"> na 67  Prihodi iz nadležnog proračuna</w:t>
            </w:r>
            <w:r w:rsidR="008A4102">
              <w:rPr>
                <w:rFonts w:cstheme="minorHAnsi"/>
                <w:color w:val="000000" w:themeColor="text1"/>
                <w:sz w:val="20"/>
                <w:szCs w:val="20"/>
              </w:rPr>
              <w:t xml:space="preserve"> i to je vidljivo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obrazloženjima</w:t>
            </w:r>
            <w:r w:rsidR="008A4102">
              <w:rPr>
                <w:rFonts w:cstheme="minorHAnsi"/>
                <w:color w:val="000000" w:themeColor="text1"/>
                <w:sz w:val="20"/>
                <w:szCs w:val="20"/>
              </w:rPr>
              <w:t xml:space="preserve"> proračunskih korisnika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 Proračunski korisnici Grada su sljedeće ustanove -  vrtić,  osnovne škole, ustanove u kulturi, ustanova u socijalnoj skrbi</w:t>
            </w:r>
            <w:r w:rsidR="00326A05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 JVP.</w:t>
            </w:r>
          </w:p>
          <w:p w14:paraId="7850A54A" w14:textId="14664A59" w:rsidR="00326A05" w:rsidRDefault="00326A05" w:rsidP="00326A0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društvene djelatnosti i lokalnu samoupravu planirani su rashodi  ustanova -  vrtić,  osnovne škole, ustanove u kulturi, ustanova u socijalnoj skrbi.</w:t>
            </w:r>
          </w:p>
          <w:p w14:paraId="582FB859" w14:textId="61056C5B" w:rsidR="00326A05" w:rsidRDefault="00326A05" w:rsidP="00C34EA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Upravnom odjelu za komunalni sustav i zaštitu okoliša planirani su rashodi javne vatrogasne postrojbe Crikvenica.</w:t>
            </w:r>
          </w:p>
          <w:p w14:paraId="1825B057" w14:textId="77777777" w:rsidR="008A4102" w:rsidRDefault="00C34EAF" w:rsidP="00C34EAF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Svi prihodi koji se uplaćuju u proračun i pripadaju Gradu Crikvenici su prihodi jedinstvenog proračuna iz kojeg se financiraju rashodi upravnih odjela i rashodi </w:t>
            </w:r>
            <w:r w:rsidR="008A4102">
              <w:rPr>
                <w:rFonts w:cstheme="minorHAnsi"/>
                <w:color w:val="000000" w:themeColor="text1"/>
                <w:sz w:val="20"/>
                <w:szCs w:val="20"/>
              </w:rPr>
              <w:t>proračunskih korisnika.</w:t>
            </w:r>
          </w:p>
          <w:p w14:paraId="423DA6E1" w14:textId="78EABA1E" w:rsidR="00C34EAF" w:rsidRDefault="00C34EAF" w:rsidP="00C34EAF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C34EAF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Ne planira se prijenos viška niti manjka za narednu proračunsku godinu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7AAC4EB9" w14:textId="50A0DA9A" w:rsidR="00326A05" w:rsidRPr="004B0CE4" w:rsidRDefault="00326A05" w:rsidP="00C34EAF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Pravilnik iz članka 28. Zakona o proračunu (NN 144/21), kojim bi se propisao izgled i sadržaj proračuna nije donesen, iako je Zakonom o proračunu propisan </w:t>
            </w:r>
            <w:r w:rsidRPr="00EA1BA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rok 30.06.202</w:t>
            </w:r>
            <w:r w:rsidR="00EA1BA9" w:rsidRPr="00EA1BA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EA1BA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godine za njegovo donošenje. </w:t>
            </w:r>
          </w:p>
          <w:p w14:paraId="3C6DF643" w14:textId="6F3B3F2C" w:rsidR="00E01555" w:rsidRPr="00C34EAF" w:rsidRDefault="00E01555" w:rsidP="00C34E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76044E" w14:textId="77777777" w:rsidR="00E01555" w:rsidRDefault="00E01555" w:rsidP="00E01555">
      <w:pPr>
        <w:spacing w:after="0"/>
        <w:ind w:left="360"/>
      </w:pPr>
    </w:p>
    <w:p w14:paraId="2824459D" w14:textId="6538D19C" w:rsidR="00E01555" w:rsidRDefault="00E01555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4FCE3AFE" w14:textId="35B9FCA3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3B1DD54D" w14:textId="028CCDE2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6EC30195" w14:textId="4A20B0F5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63319346" w14:textId="7FEBD053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14A3EF93" w14:textId="702A91C6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2C273BB0" w14:textId="782991FF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6DD2D347" w14:textId="4C003D82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404481AA" w14:textId="783806B9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1866D461" w14:textId="77777777" w:rsidR="00996EA8" w:rsidRDefault="00996EA8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47C0734A" w14:textId="77777777" w:rsidR="00005480" w:rsidRDefault="00005480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4F318F4C" w14:textId="6C5303AA" w:rsidR="00BF4D1C" w:rsidRDefault="00A80F9B" w:rsidP="00AB4FF6">
      <w:pPr>
        <w:rPr>
          <w:rFonts w:ascii="Calibri" w:hAnsi="Calibri" w:cs="Calibri"/>
          <w:b/>
          <w:bCs/>
          <w:color w:val="000000" w:themeColor="text1"/>
        </w:rPr>
      </w:pPr>
      <w:r w:rsidRPr="00BF4D1C">
        <w:rPr>
          <w:rFonts w:ascii="Calibri" w:hAnsi="Calibri" w:cs="Calibri"/>
          <w:b/>
          <w:bCs/>
          <w:color w:val="000000" w:themeColor="text1"/>
        </w:rPr>
        <w:lastRenderedPageBreak/>
        <w:t>PLAN RASHODA PO PROGRAMIMA</w:t>
      </w:r>
    </w:p>
    <w:tbl>
      <w:tblPr>
        <w:tblW w:w="11782" w:type="dxa"/>
        <w:tblInd w:w="-993" w:type="dxa"/>
        <w:tblLook w:val="04A0" w:firstRow="1" w:lastRow="0" w:firstColumn="1" w:lastColumn="0" w:noHBand="0" w:noVBand="1"/>
      </w:tblPr>
      <w:tblGrid>
        <w:gridCol w:w="3380"/>
        <w:gridCol w:w="1660"/>
        <w:gridCol w:w="1420"/>
        <w:gridCol w:w="1340"/>
        <w:gridCol w:w="1300"/>
        <w:gridCol w:w="1200"/>
        <w:gridCol w:w="1260"/>
        <w:gridCol w:w="222"/>
      </w:tblGrid>
      <w:tr w:rsidR="00042094" w:rsidRPr="00042094" w14:paraId="0B1A3A5A" w14:textId="77777777" w:rsidTr="00042094">
        <w:trPr>
          <w:gridAfter w:val="1"/>
          <w:wAfter w:w="222" w:type="dxa"/>
          <w:trHeight w:val="33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9201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FINANCIJSKI PLAN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03E8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C96D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4E3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BD95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E428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A300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2094" w:rsidRPr="00042094" w14:paraId="56155CF7" w14:textId="77777777" w:rsidTr="00042094">
        <w:trPr>
          <w:gridAfter w:val="1"/>
          <w:wAfter w:w="222" w:type="dxa"/>
          <w:trHeight w:val="509"/>
        </w:trPr>
        <w:tc>
          <w:tcPr>
            <w:tcW w:w="3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3D5236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8787FB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2021.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788205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20F1DA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2023.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EB11BD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2024.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143576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2025.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53B360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2023/2022</w:t>
            </w:r>
          </w:p>
        </w:tc>
      </w:tr>
      <w:tr w:rsidR="00042094" w:rsidRPr="00042094" w14:paraId="58B70D2D" w14:textId="77777777" w:rsidTr="00042094">
        <w:trPr>
          <w:trHeight w:val="315"/>
        </w:trPr>
        <w:tc>
          <w:tcPr>
            <w:tcW w:w="3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4993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F37B6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91A81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0ABB74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61CE4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4F492B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6D7A7" w14:textId="77777777" w:rsidR="00042094" w:rsidRPr="00042094" w:rsidRDefault="00042094" w:rsidP="000420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0420" w14:textId="77777777" w:rsidR="00042094" w:rsidRPr="00042094" w:rsidRDefault="00042094" w:rsidP="00042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42094" w:rsidRPr="00042094" w14:paraId="33506A80" w14:textId="77777777" w:rsidTr="00042094">
        <w:trPr>
          <w:trHeight w:val="300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1511E" w14:textId="77777777" w:rsidR="00042094" w:rsidRPr="00042094" w:rsidRDefault="00042094" w:rsidP="00042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RAZDJEL  002   UPRAVNI ODJEL ZA FINANCIJE, 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903D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2.843.887,51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751AD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0CCD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8DBBB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264CF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224CD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111,01</w:t>
            </w:r>
          </w:p>
        </w:tc>
        <w:tc>
          <w:tcPr>
            <w:tcW w:w="222" w:type="dxa"/>
            <w:vAlign w:val="center"/>
            <w:hideMark/>
          </w:tcPr>
          <w:p w14:paraId="54AAB0E0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42094" w:rsidRPr="00042094" w14:paraId="11E3668B" w14:textId="77777777" w:rsidTr="00042094">
        <w:trPr>
          <w:trHeight w:val="465"/>
        </w:trPr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28445" w14:textId="77777777" w:rsidR="00042094" w:rsidRPr="00042094" w:rsidRDefault="00042094" w:rsidP="000420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GLAVA 002 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927C0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2.843.887,51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E50B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D86E0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C1BD7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4CB97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33A72" w14:textId="77777777" w:rsidR="00042094" w:rsidRPr="00042094" w:rsidRDefault="00042094" w:rsidP="000420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420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111,01</w:t>
            </w:r>
          </w:p>
        </w:tc>
        <w:tc>
          <w:tcPr>
            <w:tcW w:w="222" w:type="dxa"/>
            <w:vAlign w:val="center"/>
            <w:hideMark/>
          </w:tcPr>
          <w:p w14:paraId="31C5F20B" w14:textId="77777777" w:rsidR="00042094" w:rsidRPr="00042094" w:rsidRDefault="00042094" w:rsidP="00042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1C4C7FF" w14:textId="77777777" w:rsidR="000D0C93" w:rsidRDefault="000D0C93" w:rsidP="00AB4FF6">
      <w:pPr>
        <w:rPr>
          <w:rFonts w:ascii="Calibri" w:hAnsi="Calibri" w:cs="Calibri"/>
          <w:b/>
          <w:bCs/>
          <w:color w:val="000000" w:themeColor="text1"/>
        </w:rPr>
      </w:pPr>
    </w:p>
    <w:p w14:paraId="33423ADE" w14:textId="476EA92D" w:rsidR="00B033EB" w:rsidRDefault="00BF4D1C" w:rsidP="00A72594">
      <w:pPr>
        <w:jc w:val="both"/>
        <w:rPr>
          <w:rFonts w:ascii="Calibri" w:hAnsi="Calibri" w:cs="Calibri"/>
          <w:b/>
          <w:bCs/>
          <w:color w:val="000000" w:themeColor="text1"/>
        </w:rPr>
      </w:pPr>
      <w:r w:rsidRPr="00A2073B">
        <w:rPr>
          <w:rFonts w:ascii="Calibri" w:hAnsi="Calibri" w:cs="Calibri"/>
          <w:b/>
          <w:color w:val="000000" w:themeColor="text1"/>
          <w:sz w:val="24"/>
          <w:szCs w:val="24"/>
        </w:rPr>
        <w:t xml:space="preserve">  </w:t>
      </w:r>
      <w:r w:rsidR="00AB4FF6" w:rsidRPr="00A2073B">
        <w:rPr>
          <w:rFonts w:ascii="Calibri" w:hAnsi="Calibri" w:cs="Calibri"/>
          <w:b/>
          <w:bCs/>
          <w:color w:val="000000" w:themeColor="text1"/>
        </w:rPr>
        <w:t>IZVORI FINANCIRANJA NA RAZINI UPRAVNOG ODJELA/PRORAČUNSKOG KORISNIKA</w:t>
      </w:r>
    </w:p>
    <w:tbl>
      <w:tblPr>
        <w:tblW w:w="11006" w:type="dxa"/>
        <w:tblInd w:w="-993" w:type="dxa"/>
        <w:tblLook w:val="04A0" w:firstRow="1" w:lastRow="0" w:firstColumn="1" w:lastColumn="0" w:noHBand="0" w:noVBand="1"/>
      </w:tblPr>
      <w:tblGrid>
        <w:gridCol w:w="3545"/>
        <w:gridCol w:w="1520"/>
        <w:gridCol w:w="1174"/>
        <w:gridCol w:w="1275"/>
        <w:gridCol w:w="1276"/>
        <w:gridCol w:w="1276"/>
        <w:gridCol w:w="940"/>
      </w:tblGrid>
      <w:tr w:rsidR="000D0C93" w:rsidRPr="000D0C93" w14:paraId="5EAB4270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905CEA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002 UPRAVNI ODJEL ZA FINANCIJE, TURIZAM I GOSPODARSTVO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495FC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2.843.887,49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ECFE1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DC57E7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24FE7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42713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FD68D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111,01</w:t>
            </w:r>
          </w:p>
        </w:tc>
      </w:tr>
      <w:tr w:rsidR="000D0C93" w:rsidRPr="000D0C93" w14:paraId="65CC3D64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20B015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00201 UPRAVNI ODJEL ZA FINANCIJE, TURIZAM I GOSPODARSTVO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0FF6F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2.843.887,49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82136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2F670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90671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D088C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1BC11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111,01</w:t>
            </w:r>
          </w:p>
        </w:tc>
      </w:tr>
      <w:tr w:rsidR="000D0C93" w:rsidRPr="000D0C93" w14:paraId="37CA4052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0695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1.1. OSTALI PRIHODI I PRIMICI GRADA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97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2.814.766,58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97D0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2.283.933,03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D38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2.302.400,00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375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3.142.700,00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A38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3.153.500,00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32B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100,81</w:t>
            </w:r>
          </w:p>
        </w:tc>
      </w:tr>
      <w:tr w:rsidR="000D0C93" w:rsidRPr="000D0C93" w14:paraId="5DB38DBB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6486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4.3. TURISTIČKA PRISTOJBA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679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21.368,37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99F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33.180,70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B82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849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900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36.500,00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4B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110,00</w:t>
            </w:r>
          </w:p>
        </w:tc>
      </w:tr>
      <w:tr w:rsidR="000D0C93" w:rsidRPr="000D0C93" w14:paraId="4E662530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A32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7.3. OSTALI PRIHODI OD NEFINANCIJSKE IMOVINE GRADA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D325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1.116,40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0A4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508.421,26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5B5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793.200,00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2E5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4389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68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156,01</w:t>
            </w:r>
          </w:p>
        </w:tc>
      </w:tr>
      <w:tr w:rsidR="000D0C93" w:rsidRPr="000D0C93" w14:paraId="405B6030" w14:textId="77777777" w:rsidTr="000D0C93">
        <w:trPr>
          <w:trHeight w:val="2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771B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8.1. OSTALI PRIMICI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2A6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012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20.354,55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82FE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93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26.990,69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1E57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26.990,69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D05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132,60</w:t>
            </w:r>
          </w:p>
        </w:tc>
      </w:tr>
    </w:tbl>
    <w:p w14:paraId="3092C9C8" w14:textId="77777777" w:rsidR="000D0C93" w:rsidRDefault="000D0C93" w:rsidP="00215244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7E844F46" w14:textId="77777777" w:rsidR="000D0C93" w:rsidRDefault="00154A93" w:rsidP="000D0C93">
      <w:pPr>
        <w:jc w:val="both"/>
        <w:rPr>
          <w:rFonts w:ascii="Times New Roman" w:hAnsi="Times New Roman" w:cs="Times New Roman"/>
          <w:b/>
          <w:sz w:val="24"/>
        </w:rPr>
      </w:pPr>
      <w:r w:rsidRPr="00221F75">
        <w:rPr>
          <w:rFonts w:cstheme="minorHAnsi"/>
          <w:b/>
          <w:color w:val="000000" w:themeColor="text1"/>
          <w:sz w:val="24"/>
          <w:szCs w:val="24"/>
        </w:rPr>
        <w:t>PROGRAMI</w:t>
      </w:r>
    </w:p>
    <w:tbl>
      <w:tblPr>
        <w:tblW w:w="11560" w:type="dxa"/>
        <w:tblInd w:w="-861" w:type="dxa"/>
        <w:tblLook w:val="04A0" w:firstRow="1" w:lastRow="0" w:firstColumn="1" w:lastColumn="0" w:noHBand="0" w:noVBand="1"/>
      </w:tblPr>
      <w:tblGrid>
        <w:gridCol w:w="3255"/>
        <w:gridCol w:w="1628"/>
        <w:gridCol w:w="1403"/>
        <w:gridCol w:w="1327"/>
        <w:gridCol w:w="1289"/>
        <w:gridCol w:w="1195"/>
        <w:gridCol w:w="1241"/>
        <w:gridCol w:w="222"/>
      </w:tblGrid>
      <w:tr w:rsidR="000D0C93" w:rsidRPr="000D0C93" w14:paraId="1822210D" w14:textId="77777777" w:rsidTr="000D0C93">
        <w:trPr>
          <w:gridAfter w:val="1"/>
          <w:wAfter w:w="222" w:type="dxa"/>
          <w:trHeight w:val="509"/>
        </w:trPr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E22FF5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NAZIV PROGRAMA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56A9D6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2021.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BE5CCB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2022.</w:t>
            </w:r>
          </w:p>
        </w:tc>
        <w:tc>
          <w:tcPr>
            <w:tcW w:w="13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FAC0BA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 2023.</w:t>
            </w:r>
          </w:p>
        </w:tc>
        <w:tc>
          <w:tcPr>
            <w:tcW w:w="1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C03F1E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2024.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42276F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 2025.</w:t>
            </w:r>
          </w:p>
        </w:tc>
        <w:tc>
          <w:tcPr>
            <w:tcW w:w="12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EFA1E2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2023/2022</w:t>
            </w:r>
          </w:p>
        </w:tc>
      </w:tr>
      <w:tr w:rsidR="000D0C93" w:rsidRPr="000D0C93" w14:paraId="3774F614" w14:textId="77777777" w:rsidTr="000D0C93">
        <w:trPr>
          <w:trHeight w:val="315"/>
        </w:trPr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AA58E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E3920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25E83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091EB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AC568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3E2DF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378C6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631" w14:textId="77777777" w:rsidR="000D0C93" w:rsidRPr="000D0C93" w:rsidRDefault="000D0C93" w:rsidP="000D0C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0D0C93" w:rsidRPr="000D0C93" w14:paraId="23F1D7A4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135E9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1102 Administrativni poslovi i opće usluge javne uprave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DA8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1.234.933,33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621D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1.349.113,37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C63E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1.564.750,00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0B2D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1.659.750,00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99E80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1.684.750,00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2576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115,98</w:t>
            </w:r>
          </w:p>
        </w:tc>
        <w:tc>
          <w:tcPr>
            <w:tcW w:w="222" w:type="dxa"/>
            <w:vAlign w:val="center"/>
            <w:hideMark/>
          </w:tcPr>
          <w:p w14:paraId="3BE038DA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760C81BA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A7D42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1901 Naknade šteta i povrati sredstava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3F5D0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A062E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CF7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3611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FE30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473C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#DIV/0!</w:t>
            </w:r>
          </w:p>
        </w:tc>
        <w:tc>
          <w:tcPr>
            <w:tcW w:w="222" w:type="dxa"/>
            <w:vAlign w:val="center"/>
            <w:hideMark/>
          </w:tcPr>
          <w:p w14:paraId="30A99D83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4D4CE71E" w14:textId="77777777" w:rsidTr="000D0C93">
        <w:trPr>
          <w:trHeight w:val="31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C64A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2101  Informiranje javnosti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8D95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1.327,22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63A3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1.990,84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390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E8E9E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002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D3103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50,23</w:t>
            </w:r>
          </w:p>
        </w:tc>
        <w:tc>
          <w:tcPr>
            <w:tcW w:w="222" w:type="dxa"/>
            <w:vAlign w:val="center"/>
            <w:hideMark/>
          </w:tcPr>
          <w:p w14:paraId="20FE0D31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19FC0C9D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B4D55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4402 Uključivanje u fondove EU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26AC7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73745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3.981,69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0503E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3563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FEB1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A295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222" w:type="dxa"/>
            <w:vAlign w:val="center"/>
            <w:hideMark/>
          </w:tcPr>
          <w:p w14:paraId="55A0EEF5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540D9BCC" w14:textId="77777777" w:rsidTr="000D0C93">
        <w:trPr>
          <w:trHeight w:val="31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CB42E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2203 Otplata kredita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93E0C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1.303.586,67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E3D9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1.088.857,94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543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1.162.190,69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3DEB4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1.148.040,69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35F6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1.134.390,69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EEAB9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106,73</w:t>
            </w:r>
          </w:p>
        </w:tc>
        <w:tc>
          <w:tcPr>
            <w:tcW w:w="222" w:type="dxa"/>
            <w:vAlign w:val="center"/>
            <w:hideMark/>
          </w:tcPr>
          <w:p w14:paraId="5FBF96EB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63D581FC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EC690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4801 Održavanje informacijskog sustava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59E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95.404,72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9D9B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124.029,46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249C7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146.200,00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51A4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146.200,00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FE7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146.200,00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811E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117,88</w:t>
            </w:r>
          </w:p>
        </w:tc>
        <w:tc>
          <w:tcPr>
            <w:tcW w:w="222" w:type="dxa"/>
            <w:vAlign w:val="center"/>
            <w:hideMark/>
          </w:tcPr>
          <w:p w14:paraId="0C24336D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5F97CC93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892E4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4902 Program gospodarstva i turizma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7EF59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173.530,41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5FDD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200.937,01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869D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201.250,00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1282F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200.700,00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F6D1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200.150,00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DE6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100,16</w:t>
            </w:r>
          </w:p>
        </w:tc>
        <w:tc>
          <w:tcPr>
            <w:tcW w:w="222" w:type="dxa"/>
            <w:vAlign w:val="center"/>
            <w:hideMark/>
          </w:tcPr>
          <w:p w14:paraId="684CA661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69F67AB6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00E79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PROGRAM 4104   Kapitalni programi razvoja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82772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16.590,35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E4B6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59.725,26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FAC86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59.700,00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5F0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D75C7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46.500,00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171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99,96</w:t>
            </w:r>
          </w:p>
        </w:tc>
        <w:tc>
          <w:tcPr>
            <w:tcW w:w="222" w:type="dxa"/>
            <w:vAlign w:val="center"/>
            <w:hideMark/>
          </w:tcPr>
          <w:p w14:paraId="799F290B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555D11FD" w14:textId="77777777" w:rsidTr="000D0C93">
        <w:trPr>
          <w:trHeight w:val="46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E91BA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PROGRAM  4601 Kapitalna ulaganja u informatičke programe i hardwer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5ED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18.514,81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848E1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17.253,97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0B35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D9F2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0313A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D5A8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115,92</w:t>
            </w:r>
          </w:p>
        </w:tc>
        <w:tc>
          <w:tcPr>
            <w:tcW w:w="222" w:type="dxa"/>
            <w:vAlign w:val="center"/>
            <w:hideMark/>
          </w:tcPr>
          <w:p w14:paraId="72C6F2CA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D0C93" w:rsidRPr="000D0C93" w14:paraId="43DDBBB7" w14:textId="77777777" w:rsidTr="000D0C93">
        <w:trPr>
          <w:trHeight w:val="315"/>
        </w:trPr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7F23F" w14:textId="77777777" w:rsidR="000D0C93" w:rsidRPr="000D0C93" w:rsidRDefault="000D0C93" w:rsidP="000D0C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544D5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2.843.887,51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E9995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2.845.889,54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F338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3.159.090,69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DA28D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3.226.190,69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1FB0E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3.236.990,69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F6EB" w14:textId="77777777" w:rsidR="000D0C93" w:rsidRPr="000D0C93" w:rsidRDefault="000D0C93" w:rsidP="000D0C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0C9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111,01</w:t>
            </w:r>
          </w:p>
        </w:tc>
        <w:tc>
          <w:tcPr>
            <w:tcW w:w="222" w:type="dxa"/>
            <w:vAlign w:val="center"/>
            <w:hideMark/>
          </w:tcPr>
          <w:p w14:paraId="76555D00" w14:textId="77777777" w:rsidR="000D0C93" w:rsidRPr="000D0C93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E01099A" w14:textId="4B67CA18" w:rsidR="00215244" w:rsidRDefault="00215244" w:rsidP="000D0C93">
      <w:pPr>
        <w:jc w:val="both"/>
        <w:rPr>
          <w:rFonts w:ascii="Times New Roman" w:hAnsi="Times New Roman" w:cs="Times New Roman"/>
          <w:b/>
          <w:sz w:val="24"/>
        </w:rPr>
      </w:pPr>
    </w:p>
    <w:p w14:paraId="67C0EACF" w14:textId="6EFCFD35" w:rsidR="000D0C93" w:rsidRDefault="000D0C93" w:rsidP="000D0C93">
      <w:pPr>
        <w:jc w:val="both"/>
        <w:rPr>
          <w:rFonts w:ascii="Times New Roman" w:hAnsi="Times New Roman" w:cs="Times New Roman"/>
          <w:b/>
          <w:sz w:val="24"/>
        </w:rPr>
      </w:pPr>
    </w:p>
    <w:p w14:paraId="118C35FE" w14:textId="226AD6C3" w:rsidR="00A80F9B" w:rsidRPr="00CD68DB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</w:rPr>
      </w:pPr>
      <w:r w:rsidRPr="00CD68DB">
        <w:rPr>
          <w:rFonts w:ascii="Times New Roman" w:hAnsi="Times New Roman" w:cs="Times New Roman"/>
          <w:b/>
          <w:sz w:val="24"/>
        </w:rPr>
        <w:lastRenderedPageBreak/>
        <w:t>OBRAZLOŽENJE PROGRAMA</w:t>
      </w:r>
    </w:p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5C2DF3D4" w14:textId="77777777" w:rsidTr="00BF4D1C">
        <w:trPr>
          <w:trHeight w:val="26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5B6491" w14:textId="1217EAD8" w:rsidR="00A80F9B" w:rsidRPr="00037F8A" w:rsidRDefault="00037F8A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1102 Administrativni poslovi i opće usluge javne uprave</w:t>
            </w:r>
          </w:p>
        </w:tc>
      </w:tr>
      <w:tr w:rsidR="00A80F9B" w:rsidRPr="003E2D5C" w14:paraId="75BB472E" w14:textId="77777777" w:rsidTr="00BF4D1C">
        <w:trPr>
          <w:trHeight w:val="5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EE18" w14:textId="77777777" w:rsidR="00A80F9B" w:rsidRPr="00037F8A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5B0D6252" w14:textId="77777777" w:rsidR="00A80F9B" w:rsidRDefault="000D0C93" w:rsidP="00A80F9B">
            <w:pPr>
              <w:spacing w:after="0" w:line="240" w:lineRule="auto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F4D1C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Program Administrativni poslovi i opće usluge javne uprave provlači</w:t>
            </w:r>
            <w:r w:rsidRPr="00037F8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se kroz sve upravne odjele, a u Upravnom odjelu za financije, turizam i gospodarstvo  planirani su rashodi odjela koji sadrže materijalne pretpostavke za rad službenika, rashode koji se odnose na ukupnu gradsku upravu kao npr. troškovi platnog prometa, zatezne kamate, usluge porezne uprave i sl. te najznačajnije rashode ovog programa, rashode za zaposlene, što čine plaće i ostali rashodi</w:t>
            </w:r>
          </w:p>
          <w:p w14:paraId="478934CC" w14:textId="7B6E8C68" w:rsidR="000D0C93" w:rsidRPr="00037F8A" w:rsidRDefault="000D0C93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A80F9B" w:rsidRPr="003E2D5C" w14:paraId="7ED331BE" w14:textId="77777777" w:rsidTr="00BF4D1C">
        <w:trPr>
          <w:trHeight w:val="5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B6DB7E" w14:textId="4617919C" w:rsidR="00A80F9B" w:rsidRPr="00037F8A" w:rsidRDefault="00E01555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2023.-20</w:t>
            </w:r>
            <w:r w:rsidR="00CF789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25.</w:t>
            </w:r>
          </w:p>
          <w:p w14:paraId="3975F71E" w14:textId="2F0C1F57" w:rsidR="00037F8A" w:rsidRPr="00037F8A" w:rsidRDefault="00037F8A" w:rsidP="00037F8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80F9B" w:rsidRPr="00037F8A">
              <w:rPr>
                <w:rFonts w:cstheme="minorHAnsi"/>
                <w:color w:val="000000" w:themeColor="text1"/>
                <w:sz w:val="18"/>
                <w:szCs w:val="18"/>
              </w:rPr>
              <w:t>Cilj 1: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>Osigurati uvjete rada radi poboljšanja efikasnosti gradske uprave u smislu neometanog i uspješnog obavljanja poslovnih zadataka.</w:t>
            </w:r>
          </w:p>
          <w:p w14:paraId="4F774C46" w14:textId="7D9612E9" w:rsidR="00A80F9B" w:rsidRPr="00037F8A" w:rsidRDefault="00A80F9B" w:rsidP="00A80F9B">
            <w:pPr>
              <w:pStyle w:val="Odlomakpopisa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  <w:p w14:paraId="3042696C" w14:textId="77777777" w:rsidR="00A80F9B" w:rsidRPr="00037F8A" w:rsidRDefault="00A80F9B" w:rsidP="00605DFE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A80F9B" w:rsidRPr="00F72F50" w14:paraId="7CD8B515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CAC2" w14:textId="77777777" w:rsidR="00221F75" w:rsidRDefault="00A80F9B" w:rsidP="00A80F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8DB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634AAEB8" w14:textId="5707DC9F" w:rsidR="00A80F9B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</w:t>
            </w:r>
            <w:r w:rsidR="00605DFE"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A110201 REDOVNA DJELATNOST ODJELA</w:t>
            </w:r>
          </w:p>
          <w:tbl>
            <w:tblPr>
              <w:tblW w:w="10324" w:type="dxa"/>
              <w:tblLayout w:type="fixed"/>
              <w:tblLook w:val="04A0" w:firstRow="1" w:lastRow="0" w:firstColumn="1" w:lastColumn="0" w:noHBand="0" w:noVBand="1"/>
            </w:tblPr>
            <w:tblGrid>
              <w:gridCol w:w="2717"/>
              <w:gridCol w:w="1399"/>
              <w:gridCol w:w="1418"/>
              <w:gridCol w:w="1275"/>
              <w:gridCol w:w="1276"/>
              <w:gridCol w:w="1179"/>
              <w:gridCol w:w="824"/>
              <w:gridCol w:w="236"/>
            </w:tblGrid>
            <w:tr w:rsidR="000D0C93" w:rsidRPr="000D0C93" w14:paraId="69C34083" w14:textId="77777777" w:rsidTr="000D0C93">
              <w:trPr>
                <w:gridAfter w:val="1"/>
                <w:wAfter w:w="236" w:type="dxa"/>
                <w:trHeight w:val="509"/>
              </w:trPr>
              <w:tc>
                <w:tcPr>
                  <w:tcW w:w="27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5193362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D503A0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F906D6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C88275F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5B2315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95D9F9D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82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7C132B6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0D0C93" w:rsidRPr="000D0C93" w14:paraId="286F91A0" w14:textId="77777777" w:rsidTr="000D0C93">
              <w:trPr>
                <w:trHeight w:val="615"/>
              </w:trPr>
              <w:tc>
                <w:tcPr>
                  <w:tcW w:w="27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8EDDFA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E6610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A249BD7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7B593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1AE2E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7FBA37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2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17CB51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F954C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D0C93" w:rsidRPr="000D0C93" w14:paraId="6C355F54" w14:textId="77777777" w:rsidTr="000D0C93">
              <w:trPr>
                <w:trHeight w:val="465"/>
              </w:trPr>
              <w:tc>
                <w:tcPr>
                  <w:tcW w:w="27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327B45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1102 Administrativni poslovi i opće usluge javne uprave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AAFDF3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1.234.933,33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13BA1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1.349.113,37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D7E90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1.564.750,00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13094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1.659.750,00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58E0DC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1.684.750,00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B7247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115,98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B000E68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6FCB0730" w14:textId="77777777" w:rsidTr="000D0C93">
              <w:trPr>
                <w:trHeight w:val="465"/>
              </w:trPr>
              <w:tc>
                <w:tcPr>
                  <w:tcW w:w="271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971885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A110202 REDOVNA DJELATNOSTGRADSKE UPRAVE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947BA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1.234.933,33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58D7F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1.349.113,37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61E2F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1.564.750,00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4DEFF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1.659.750,00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FB610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1.684.750,00</w:t>
                  </w:r>
                </w:p>
              </w:tc>
              <w:tc>
                <w:tcPr>
                  <w:tcW w:w="82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C4EC0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115,98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A0B19F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5A2948BF" w14:textId="431DB74A" w:rsidR="00221F75" w:rsidRPr="00F72F50" w:rsidRDefault="00221F75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80F9B" w:rsidRPr="00F72F50" w14:paraId="47A173A4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D47A" w14:textId="51F511C3" w:rsidR="00A80F9B" w:rsidRPr="00C246B5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 w:rsidR="00605DF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18F0AE2" w14:textId="6C2B5BCA" w:rsidR="00A80F9B" w:rsidRPr="00605DFE" w:rsidRDefault="000D0C93" w:rsidP="00BF4D1C">
            <w:pPr>
              <w:pStyle w:val="Odlomakpopisa"/>
              <w:spacing w:after="160" w:line="256" w:lineRule="auto"/>
              <w:ind w:left="31" w:hanging="31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Opći porezni zakon, Zakon o lokalnoj i područnoj 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(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regionalnoj) samoupravi, Zakon o financiranju jedinica lokalne i područne (regionalne) samouprave, Zakon o javnoj nabavi, Zakon o porezu na dohodak, Pravilnik o porezu na dohodak, Zakon o financijskom poslovanju i predstečajnoj nagodbi, Zakon o lokalnim službenicima i namještenicima, Zakon o plaćama o lokalnoj i regionalnoj (područnoj) samoupravi, Zakon o fiskalnoj odgovornosti, Zakon o sustavu unutarnjih financijskih kontrola u javnom sektoru, Uredba o klasifikaciji radnih mjesta u lokalnoj i područnoj (regionalnoj) samoupravi, Odluka o izvršavanju proračuna Grada Crikvenice, Odluka o ustrojstvu i djelokrugu Gradske uprave Grada Crikvenice, Kolektivni ugovor,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Pravilnik o radu, </w:t>
            </w:r>
            <w:r w:rsidRPr="00605DF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Statut Grada Crikvenice, Zakon o obveznim odnosima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Ovršni Zakon</w:t>
            </w:r>
          </w:p>
        </w:tc>
      </w:tr>
      <w:tr w:rsidR="00A80F9B" w:rsidRPr="00F72F50" w14:paraId="7F9ADA06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37DE" w14:textId="77777777" w:rsidR="00A80F9B" w:rsidRPr="007D5A9C" w:rsidRDefault="00A80F9B" w:rsidP="00A80F9B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Obrazloženje aktivnosti/projekta</w:t>
            </w:r>
          </w:p>
          <w:p w14:paraId="365F4305" w14:textId="54C6DEE6" w:rsidR="00A80F9B" w:rsidRPr="00605DFE" w:rsidRDefault="000D0C93" w:rsidP="002132B0">
            <w:pPr>
              <w:pStyle w:val="Odlomakpopisa"/>
              <w:ind w:left="31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605DFE">
              <w:rPr>
                <w:rFonts w:cstheme="minorHAnsi"/>
                <w:bCs/>
                <w:sz w:val="18"/>
                <w:szCs w:val="18"/>
              </w:rPr>
              <w:t>U ovoj aktivnosti planiraju se rashod</w:t>
            </w:r>
            <w:r>
              <w:rPr>
                <w:rFonts w:cstheme="minorHAnsi"/>
                <w:bCs/>
                <w:sz w:val="18"/>
                <w:szCs w:val="18"/>
              </w:rPr>
              <w:t>i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koji se odnose na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rad gradske uprave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 kao npr.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rashodi za zaposlene, </w:t>
            </w:r>
            <w:r w:rsidRPr="00605DFE">
              <w:rPr>
                <w:rFonts w:cstheme="minorHAnsi"/>
                <w:bCs/>
                <w:sz w:val="18"/>
                <w:szCs w:val="18"/>
              </w:rPr>
              <w:t>troškovi platnog prometa, zatezne kamate, usluge porezne uprave</w:t>
            </w:r>
            <w:r>
              <w:rPr>
                <w:rFonts w:cstheme="minorHAnsi"/>
                <w:bCs/>
                <w:sz w:val="18"/>
                <w:szCs w:val="18"/>
              </w:rPr>
              <w:t xml:space="preserve">, Fine, seminari, literatura i sl. Rashodi za zaposlene daleko su niži od  zakonskog ograničenja prema kojem </w:t>
            </w:r>
            <w:r w:rsidRPr="00605DFE">
              <w:rPr>
                <w:rFonts w:cstheme="minorHAnsi"/>
                <w:bCs/>
                <w:sz w:val="18"/>
                <w:szCs w:val="18"/>
              </w:rPr>
              <w:t xml:space="preserve">udio ovih </w:t>
            </w:r>
            <w:r>
              <w:rPr>
                <w:rFonts w:cstheme="minorHAnsi"/>
                <w:bCs/>
                <w:sz w:val="18"/>
                <w:szCs w:val="18"/>
              </w:rPr>
              <w:t xml:space="preserve">rashoda u ne može biti veći od </w:t>
            </w:r>
            <w:r w:rsidRPr="002132B0">
              <w:rPr>
                <w:rFonts w:cstheme="minorHAnsi"/>
                <w:bCs/>
                <w:sz w:val="18"/>
                <w:szCs w:val="18"/>
              </w:rPr>
              <w:t>20% prihoda poslovanja jedinice ostvarenih u prethodnoj godini, umanjenih za prihode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od domaćih i stranih pomoći i donacija, osim pomoći za preuzete državne službenike na temelju posebnog zakona,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>iz posebnih ugovora: sufinanciranje građana za mjesnu samoupravu te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132B0">
              <w:rPr>
                <w:rFonts w:cstheme="minorHAnsi"/>
                <w:bCs/>
                <w:sz w:val="18"/>
                <w:szCs w:val="18"/>
              </w:rPr>
              <w:t xml:space="preserve"> ostvarene s osnove dodatnog udjela u porezu na dohodak i pomoći izravnanja za financiranje decentraliziranih funkcija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A80F9B" w:rsidRPr="00F72F50" w14:paraId="7BEB2E49" w14:textId="77777777" w:rsidTr="00BF4D1C">
        <w:trPr>
          <w:trHeight w:val="30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15C2" w14:textId="77777777" w:rsidR="00A80F9B" w:rsidRPr="00C246B5" w:rsidRDefault="00A80F9B" w:rsidP="00A80F9B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67911763" w14:textId="36592A19" w:rsidR="00063587" w:rsidRPr="00063587" w:rsidRDefault="00605DFE" w:rsidP="00063587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plan je povećan s obzirom na novoutvrđena prava djelatnika kod I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izmjena proračuna 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 2022. godinu, 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kojim je odobren rast osnovice, te daljnjem planu da se od 01.01.23. osnovica podigne za 3%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sukladno razgovorima sa sindikatom i zbog povećanja troškova života. Povećano su planirane i usluge npr. 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uslug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e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platnog prometa, naplate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na šalterima Hrvatske pošte i 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FINE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za uplate građana bez naknade, kao i troškovi naplate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porezne uprave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a kod kojih je visina rashoda 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proporcionalno veza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na</w:t>
            </w:r>
            <w:r w:rsidR="00063587" w:rsidRPr="00063587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za porezne prihode koje naplaćuje porezna uprava.</w:t>
            </w:r>
          </w:p>
          <w:p w14:paraId="36A891B9" w14:textId="1A7DCF94" w:rsidR="00063587" w:rsidRPr="00C246B5" w:rsidRDefault="00063587" w:rsidP="009C6EB6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47401C10" w14:textId="0A26B1A2" w:rsidR="009A4FDF" w:rsidRDefault="009A4FDF" w:rsidP="00605DFE">
      <w:pPr>
        <w:spacing w:after="0"/>
        <w:rPr>
          <w:rFonts w:ascii="Times New Roman" w:hAnsi="Times New Roman" w:cs="Times New Roman"/>
          <w:sz w:val="24"/>
        </w:rPr>
      </w:pPr>
    </w:p>
    <w:p w14:paraId="09794528" w14:textId="0C5ED6F1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2D689300" w14:textId="1A5EDBF4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4428DCC8" w14:textId="6EAAC6E2" w:rsidR="000D0C93" w:rsidRDefault="000D0C93" w:rsidP="00605DFE">
      <w:pPr>
        <w:spacing w:after="0"/>
        <w:rPr>
          <w:rFonts w:ascii="Times New Roman" w:hAnsi="Times New Roman" w:cs="Times New Roman"/>
          <w:sz w:val="24"/>
        </w:rPr>
      </w:pPr>
    </w:p>
    <w:p w14:paraId="289CD153" w14:textId="77777777" w:rsidR="000D0C93" w:rsidRDefault="000D0C93" w:rsidP="00605DFE">
      <w:pPr>
        <w:spacing w:after="0"/>
        <w:rPr>
          <w:rFonts w:ascii="Times New Roman" w:hAnsi="Times New Roman" w:cs="Times New Roman"/>
          <w:sz w:val="24"/>
        </w:rPr>
      </w:pPr>
    </w:p>
    <w:p w14:paraId="5C51F093" w14:textId="4E87197C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2FE97AF9" w14:textId="2B1F5C8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6D2D781D" w14:textId="0465DEE9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p w14:paraId="53253330" w14:textId="77777777" w:rsidR="00215244" w:rsidRDefault="00215244" w:rsidP="00605DFE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605DFE" w:rsidRPr="00F72F50" w14:paraId="69ED60B7" w14:textId="77777777" w:rsidTr="00F7472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1190D1" w14:textId="58CDDEDD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37F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</w:t>
            </w:r>
            <w:r w:rsidR="00F74727" w:rsidRPr="00F747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2101  Informiranje javnosti</w:t>
            </w:r>
          </w:p>
        </w:tc>
      </w:tr>
      <w:tr w:rsidR="00605DFE" w:rsidRPr="003E2D5C" w14:paraId="09B28196" w14:textId="77777777" w:rsidTr="00605DFE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2E90" w14:textId="77777777" w:rsidR="00605DFE" w:rsidRPr="00037F8A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7C70AD3A" w14:textId="1FC7AACD" w:rsidR="00605DFE" w:rsidRPr="00037F8A" w:rsidRDefault="00BF4D1C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proračuna</w:t>
            </w:r>
            <w:r w:rsidR="00F74727"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</w:t>
            </w:r>
            <w:r w:rsidR="00111B35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</w:tr>
      <w:tr w:rsidR="00605DFE" w:rsidRPr="003E2D5C" w14:paraId="0F3B8460" w14:textId="77777777" w:rsidTr="00605DFE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234CB" w14:textId="3B4D30FD" w:rsidR="009A4FDF" w:rsidRDefault="00E01555" w:rsidP="00F7472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2023.-20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</w:p>
          <w:p w14:paraId="4FF89A12" w14:textId="708F505F" w:rsidR="00605DFE" w:rsidRPr="00037F8A" w:rsidRDefault="00605DFE" w:rsidP="00111B35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 w:rsidR="00F74727" w:rsidRPr="00F74727">
              <w:rPr>
                <w:rFonts w:cstheme="minorHAnsi"/>
                <w:color w:val="000000" w:themeColor="text1"/>
                <w:sz w:val="18"/>
                <w:szCs w:val="18"/>
              </w:rPr>
              <w:t>Cilj ovog programa je uključivanje javnosti u proračunski proces i transparentno planiranje i izvršavanje proračuna</w:t>
            </w:r>
            <w:r w:rsidR="00111B35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2DEE06C" w14:textId="7AD278D0" w:rsidR="00221F75" w:rsidRDefault="00605DFE" w:rsidP="00701C25">
      <w:pPr>
        <w:pStyle w:val="Odlomakpopisa"/>
        <w:numPr>
          <w:ilvl w:val="0"/>
          <w:numId w:val="17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7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Procjena i ishodište potrebnih sredstava za aktivnosti/projekte unutar programa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605DFE" w:rsidRPr="00F72F50" w14:paraId="7680FDB3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134"/>
              <w:gridCol w:w="992"/>
              <w:gridCol w:w="1134"/>
              <w:gridCol w:w="992"/>
              <w:gridCol w:w="1200"/>
              <w:gridCol w:w="1068"/>
            </w:tblGrid>
            <w:tr w:rsidR="000D0C93" w:rsidRPr="000D0C93" w14:paraId="55EE8B4B" w14:textId="77777777" w:rsidTr="000D0C93">
              <w:trPr>
                <w:trHeight w:val="450"/>
              </w:trPr>
              <w:tc>
                <w:tcPr>
                  <w:tcW w:w="3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F55581F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227AB2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DC9EBE8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66C1D09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CA2E8EB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0CE4296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106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3DD2559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0D0C93" w:rsidRPr="000D0C93" w14:paraId="2F1CD512" w14:textId="77777777" w:rsidTr="000D0C93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B6297E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06ADA87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4E43D0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B8C4314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EF618CE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22255B3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3E9D13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0D0C93" w:rsidRPr="000D0C93" w14:paraId="37DC156E" w14:textId="77777777" w:rsidTr="000D0C93">
              <w:trPr>
                <w:trHeight w:val="300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026CDFD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2101  Informiranje javnosti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B90A1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C53AD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6F6FE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25897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16DD0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29ACE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50,23</w:t>
                  </w:r>
                </w:p>
              </w:tc>
            </w:tr>
            <w:tr w:rsidR="000D0C93" w:rsidRPr="000D0C93" w14:paraId="2D1826A7" w14:textId="77777777" w:rsidTr="000D0C93">
              <w:trPr>
                <w:trHeight w:val="46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2EF741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 A210104 UKLJUČIVANJE JAVNOSTI U PRORAČUNSKI PROCES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D0275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83282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A916D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DD534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D08E4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8F0130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50,23</w:t>
                  </w:r>
                </w:p>
              </w:tc>
            </w:tr>
          </w:tbl>
          <w:p w14:paraId="732E9064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152A2102" w14:textId="77777777" w:rsidR="00605DFE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605D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A210104 UKLJUČIVANJE JAVNOSTI U PRORAČUNSKI PROCES</w:t>
            </w:r>
          </w:p>
          <w:p w14:paraId="3D4E0E22" w14:textId="069820AC" w:rsidR="00977768" w:rsidRPr="00F72F50" w:rsidRDefault="00977768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05DFE" w:rsidRPr="00F72F50" w14:paraId="33C58FEA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A394" w14:textId="77777777" w:rsidR="00605DFE" w:rsidRPr="00C246B5" w:rsidRDefault="00605DFE" w:rsidP="00605D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673D3FCD" w14:textId="04F3B2B3" w:rsidR="00605DFE" w:rsidRPr="00E45EDD" w:rsidRDefault="00E45EDD" w:rsidP="00F74727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Zakon o pravu na </w:t>
            </w:r>
            <w:r w:rsidRPr="00E45ED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informacijama</w:t>
            </w:r>
          </w:p>
        </w:tc>
      </w:tr>
      <w:tr w:rsidR="00605DFE" w:rsidRPr="00F72F50" w14:paraId="20723E26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EC1D3" w14:textId="77777777" w:rsidR="00605DFE" w:rsidRPr="00F74727" w:rsidRDefault="00605DFE" w:rsidP="008B54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45CE8FDF" w14:textId="6EDBAC2F" w:rsidR="00E45EDD" w:rsidRPr="00F74727" w:rsidRDefault="00783F1B" w:rsidP="00B357B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Javnost se informira o planu proračuna i donesenom proračuna</w:t>
            </w:r>
            <w:r>
              <w:rPr>
                <w:rFonts w:cstheme="minorHAnsi"/>
                <w:bCs/>
                <w:sz w:val="18"/>
                <w:szCs w:val="18"/>
              </w:rPr>
              <w:t xml:space="preserve"> kako bi se što aktivnije mogla uključiti u proces donošenja proračuna i imati priliku dati svoje prijedloge, te razumjeti proračun kroz prikaz proračuna u malom</w:t>
            </w:r>
            <w:r w:rsidR="00111B35">
              <w:rPr>
                <w:rFonts w:cstheme="minorHAnsi"/>
                <w:bCs/>
                <w:sz w:val="18"/>
                <w:szCs w:val="18"/>
              </w:rPr>
              <w:t>, odnosno vodiča za građane koji se uvodi kao obveza u novom Zakonu o proračunu</w:t>
            </w:r>
            <w:r>
              <w:rPr>
                <w:rFonts w:cstheme="minorHAnsi"/>
                <w:bCs/>
                <w:sz w:val="18"/>
                <w:szCs w:val="18"/>
              </w:rPr>
              <w:t xml:space="preserve">. Savjetovanje s javnosti provodi se već niz godina </w:t>
            </w:r>
            <w:r w:rsidR="00111B35">
              <w:rPr>
                <w:rFonts w:cstheme="minorHAnsi"/>
                <w:bCs/>
                <w:sz w:val="18"/>
                <w:szCs w:val="18"/>
              </w:rPr>
              <w:t xml:space="preserve"> i daje  širi vremenski okvir u kojem su svi pozvani da daju svoje prijedloge i mišljenja.</w:t>
            </w:r>
          </w:p>
        </w:tc>
      </w:tr>
      <w:tr w:rsidR="00605DFE" w:rsidRPr="00F72F50" w14:paraId="171348AC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ED01" w14:textId="77777777" w:rsidR="00605DFE" w:rsidRPr="00C246B5" w:rsidRDefault="00605DFE" w:rsidP="00605DF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33726EBF" w14:textId="290828A3" w:rsidR="009C6EB6" w:rsidRDefault="000D0C93" w:rsidP="00111B35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umanjena su sredstva. 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ti će se dodatan naglasak na javno savjetovanje za proračun naredne tri proračunske godine umjesto na javnu tribinu koja okuplja manji broj ljudi.</w:t>
            </w:r>
            <w:r w:rsidR="00B357B8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Javno savjetovanje traje mjesec dana i daje mogućnost sudjelovanja i davanja svojih prijedloga većem broju građana  nego tribina koja se održava jednokratno.</w:t>
            </w:r>
          </w:p>
          <w:p w14:paraId="09C2F3E5" w14:textId="0C40F7E3" w:rsidR="00977768" w:rsidRPr="009C6EB6" w:rsidRDefault="00977768" w:rsidP="009C6EB6">
            <w:pPr>
              <w:spacing w:after="0" w:line="240" w:lineRule="auto"/>
              <w:ind w:firstLine="39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</w:p>
        </w:tc>
      </w:tr>
      <w:tr w:rsidR="009C6EB6" w:rsidRPr="00F72F50" w14:paraId="0A02BF14" w14:textId="77777777" w:rsidTr="00F74727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02"/>
              <w:gridCol w:w="1983"/>
              <w:gridCol w:w="1276"/>
              <w:gridCol w:w="992"/>
              <w:gridCol w:w="1135"/>
              <w:gridCol w:w="992"/>
              <w:gridCol w:w="960"/>
            </w:tblGrid>
            <w:tr w:rsidR="009C6EB6" w:rsidRPr="009C6EB6" w14:paraId="3B3D9574" w14:textId="77777777" w:rsidTr="00B357B8">
              <w:trPr>
                <w:trHeight w:val="1215"/>
              </w:trPr>
              <w:tc>
                <w:tcPr>
                  <w:tcW w:w="14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819A5A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10B5F76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9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C5A19F1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A217EF" w14:textId="15359C35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="00B357B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07CD61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2DCE8E" w14:textId="2548F94F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59D8DA" w14:textId="07A80FD9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9E1170A" w14:textId="768F565F" w:rsidR="009C6EB6" w:rsidRPr="009A4FDF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9A4FDF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9C6EB6" w:rsidRPr="009C6EB6" w14:paraId="4DE59F03" w14:textId="77777777" w:rsidTr="00B357B8">
              <w:trPr>
                <w:trHeight w:val="915"/>
              </w:trPr>
              <w:tc>
                <w:tcPr>
                  <w:tcW w:w="144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9B4D2B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Broj zainteresiranih građana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EC5625" w14:textId="77777777" w:rsidR="009C6EB6" w:rsidRPr="009C6EB6" w:rsidRDefault="009C6EB6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Proračun se objavljuje na webu s ciljem uključivanja građana i davanja prijedloga i sugestija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19605" w14:textId="0D51C93F" w:rsidR="009C6EB6" w:rsidRPr="009C6EB6" w:rsidRDefault="00C35FA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Postotak 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zainte</w:t>
                  </w:r>
                  <w:r w:rsidR="00DC306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re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siranih građana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kroz broj preuzimanja </w:t>
                  </w:r>
                  <w:r w:rsidR="00783F1B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materijala sa savjetovanja</w:t>
                  </w:r>
                  <w:r w:rsidR="00B357B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, preuzimanje vodiča za građane koji se radi uz proračun i svake izmjene i dopune proračun, te uz polugodišnji i godišnji izvještaj o proračunu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D509B8" w14:textId="45C81274" w:rsidR="009C6EB6" w:rsidRPr="009C6EB6" w:rsidRDefault="00C35FA3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="008B546D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E2B1C2" w14:textId="77777777" w:rsidR="009C6EB6" w:rsidRPr="009C6EB6" w:rsidRDefault="009C6EB6" w:rsidP="009C6EB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9C6EB6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Grad Crikvenica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A381E" w14:textId="26522CC0" w:rsidR="009C6EB6" w:rsidRPr="009C6EB6" w:rsidRDefault="00EF73BB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="00D42E8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D7AC2A" w14:textId="3747F64B" w:rsidR="009C6EB6" w:rsidRPr="009C6EB6" w:rsidRDefault="00EF73BB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="00D42E8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F4BC39" w14:textId="174A6AD3" w:rsidR="009C6EB6" w:rsidRPr="009C6EB6" w:rsidRDefault="00EF73BB" w:rsidP="009C6E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="00D42E84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</w:t>
                  </w:r>
                  <w:r w:rsidR="009C6EB6" w:rsidRPr="009C6EB6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</w:t>
                  </w:r>
                </w:p>
              </w:tc>
            </w:tr>
          </w:tbl>
          <w:p w14:paraId="6CEAE291" w14:textId="121B1A6A" w:rsidR="009C6EB6" w:rsidRPr="00C246B5" w:rsidRDefault="00D42E84" w:rsidP="00D42E8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459C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B98816C" w14:textId="3D13B254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7AD0F31" w14:textId="7C69822E" w:rsidR="00005480" w:rsidRDefault="00005480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6B40955" w14:textId="73D6EDFF" w:rsidR="00111B35" w:rsidRDefault="00111B3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775540A" w14:textId="77777777" w:rsidR="00111B35" w:rsidRDefault="00111B3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D6E522" w14:textId="5FE062B9" w:rsidR="00605DFE" w:rsidRDefault="00605DFE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3597DAFC" w14:textId="77777777" w:rsidTr="00CF789D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7D64FC" w14:textId="40D98C65" w:rsidR="00F74727" w:rsidRPr="00A737CF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A737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4402 Uključivanje u fondove EU</w:t>
            </w:r>
          </w:p>
        </w:tc>
      </w:tr>
      <w:tr w:rsidR="00005480" w:rsidRPr="00005480" w14:paraId="6B83AA31" w14:textId="77777777" w:rsidTr="00CF789D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BB4F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2F67D4C" w14:textId="4EA8414F" w:rsidR="00F74727" w:rsidRPr="00A737CF" w:rsidRDefault="006A4A9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>Tijekom 202</w:t>
            </w:r>
            <w:r w:rsidR="00D42E84" w:rsidRPr="00A737CF">
              <w:rPr>
                <w:rFonts w:cstheme="minorHAnsi"/>
                <w:sz w:val="18"/>
                <w:szCs w:val="18"/>
              </w:rPr>
              <w:t>2</w:t>
            </w:r>
            <w:r w:rsidRPr="00A737CF">
              <w:rPr>
                <w:rFonts w:cstheme="minorHAnsi"/>
                <w:sz w:val="18"/>
                <w:szCs w:val="18"/>
              </w:rPr>
              <w:t xml:space="preserve"> g., kao i u sljedeće dvije godine, predlaže se pripremiti i kandidirati te provesti projekte i programe kandidiranjem 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Nacionalni program otpornosti i opravka i </w:t>
            </w:r>
            <w:r w:rsidRPr="00A737CF">
              <w:rPr>
                <w:rFonts w:cstheme="minorHAnsi"/>
                <w:sz w:val="18"/>
                <w:szCs w:val="18"/>
              </w:rPr>
              <w:t>na strukturne i investicijske fondove Europske unije</w:t>
            </w:r>
            <w:r w:rsidR="00D44662" w:rsidRPr="00A737CF">
              <w:rPr>
                <w:rFonts w:cstheme="minorHAnsi"/>
                <w:sz w:val="18"/>
                <w:szCs w:val="18"/>
              </w:rPr>
              <w:t xml:space="preserve"> za predstojeću financijsku perspektivu</w:t>
            </w:r>
            <w:r w:rsidRPr="00A737CF">
              <w:rPr>
                <w:rFonts w:cstheme="minorHAnsi"/>
                <w:sz w:val="18"/>
                <w:szCs w:val="18"/>
              </w:rPr>
              <w:t>. Za navedeno predviđene su vanjske usluge koje bi se koristile po potrebi i složenosti projekta, a u svrhu  poboljšanja sposobnosti  pripreme i prijave  projekata.</w:t>
            </w:r>
          </w:p>
          <w:p w14:paraId="55319DE8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8762007" w14:textId="77777777" w:rsidTr="00CF789D">
        <w:trPr>
          <w:trHeight w:val="584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C3AF7F" w14:textId="06ABFF1F" w:rsidR="009A4FDF" w:rsidRPr="00A737CF" w:rsidRDefault="00E01555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2023.-20</w:t>
            </w:r>
            <w:r w:rsidR="00A737CF"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</w:t>
            </w:r>
          </w:p>
          <w:p w14:paraId="4769F34E" w14:textId="30368B6A" w:rsidR="006A4A9A" w:rsidRPr="00A737CF" w:rsidRDefault="00F74727" w:rsidP="006A4A9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cstheme="minorHAnsi"/>
                <w:sz w:val="18"/>
                <w:szCs w:val="18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</w:t>
            </w:r>
            <w:r w:rsidR="006A4A9A" w:rsidRPr="00A737CF">
              <w:rPr>
                <w:rFonts w:cstheme="minorHAnsi"/>
                <w:sz w:val="18"/>
                <w:szCs w:val="18"/>
              </w:rPr>
              <w:t>Aktualno praćenje svih natječaja i donošenje odluka o prijavi na natječaje koji su sukladni planovima realizacije Strategije Grada Crikvenice i planu proračuna</w:t>
            </w:r>
            <w:r w:rsidR="00A36EE5" w:rsidRPr="00A737CF">
              <w:rPr>
                <w:rFonts w:cstheme="minorHAnsi"/>
                <w:sz w:val="18"/>
                <w:szCs w:val="18"/>
              </w:rPr>
              <w:t xml:space="preserve"> te Provedbenom programu Grada Crikvenice 2021. do 2025.</w:t>
            </w:r>
            <w:r w:rsidR="00111B35">
              <w:rPr>
                <w:rFonts w:cstheme="minorHAnsi"/>
                <w:sz w:val="18"/>
                <w:szCs w:val="18"/>
              </w:rPr>
              <w:t xml:space="preserve"> godine.</w:t>
            </w:r>
          </w:p>
          <w:p w14:paraId="04186F65" w14:textId="46A7DC44" w:rsidR="00F74727" w:rsidRPr="00A737CF" w:rsidRDefault="00F74727" w:rsidP="001D1669">
            <w:pPr>
              <w:pStyle w:val="Odlomakpopisa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318BAF36" w14:textId="77777777" w:rsidR="008B0FA2" w:rsidRPr="00005480" w:rsidRDefault="008B0FA2" w:rsidP="00F747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49FAD2DD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B489" w14:textId="15A97401" w:rsidR="00F74727" w:rsidRPr="00A737CF" w:rsidRDefault="00F74727" w:rsidP="000D0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7CF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446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038"/>
              <w:gridCol w:w="1134"/>
              <w:gridCol w:w="1134"/>
              <w:gridCol w:w="1300"/>
              <w:gridCol w:w="1200"/>
              <w:gridCol w:w="1260"/>
            </w:tblGrid>
            <w:tr w:rsidR="00A737CF" w:rsidRPr="00A737CF" w14:paraId="38558738" w14:textId="77777777" w:rsidTr="000D0C93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4B206CB" w14:textId="77777777" w:rsidR="000D0C93" w:rsidRPr="00A737CF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NAZIV PROGRAMA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CBB7455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E6AD1DF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3022E8D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5C0CF8F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0E77000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9C07BAE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A737CF" w:rsidRPr="00A737CF" w14:paraId="797CA501" w14:textId="77777777" w:rsidTr="000D0C93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4315459" w14:textId="77777777" w:rsidR="000D0C93" w:rsidRPr="00A737CF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37DAE7A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79B577B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780FBC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005120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1350A73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ADE9EBD" w14:textId="77777777" w:rsidR="000D0C93" w:rsidRPr="00A737CF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A737CF" w:rsidRPr="00A737CF" w14:paraId="03A3654E" w14:textId="77777777" w:rsidTr="000D0C93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D315C5" w14:textId="77777777" w:rsidR="000D0C93" w:rsidRPr="00A737CF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PROGRAM 4402 Uključivanje u fondove EU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F6EA86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900D37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3.981,69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57DE75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FE026D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AFD3DC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5F649B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</w:tr>
            <w:tr w:rsidR="00A737CF" w:rsidRPr="00A737CF" w14:paraId="491E17E0" w14:textId="77777777" w:rsidTr="000D0C93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721064" w14:textId="77777777" w:rsidR="000D0C93" w:rsidRPr="00A737CF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Tekući projekt T440201 UKLJUČIVANJE U  FONDOVE EU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EBA8DD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BA0CA3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3.981,69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83A7B4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C559BD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108E16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27C786" w14:textId="77777777" w:rsidR="000D0C93" w:rsidRPr="00A737CF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</w:tr>
          </w:tbl>
          <w:p w14:paraId="20D41272" w14:textId="77777777" w:rsidR="000D0C93" w:rsidRPr="00A737CF" w:rsidRDefault="000D0C93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0F48F39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6A4A9A"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T440201 UKLJUČIVANJE U  FONDOVE EU</w:t>
            </w:r>
          </w:p>
          <w:p w14:paraId="1EB2BC9F" w14:textId="480F6077" w:rsidR="00977768" w:rsidRPr="00A737CF" w:rsidRDefault="00977768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05480" w:rsidRPr="00005480" w14:paraId="23E472C8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3D7B" w14:textId="77777777" w:rsidR="00F74727" w:rsidRPr="00A737CF" w:rsidRDefault="00F74727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DDB5F51" w14:textId="445956B1" w:rsidR="00F74727" w:rsidRPr="00A737CF" w:rsidRDefault="00477417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Programi Europske unije, strateški dokumenti Grada Crikvenice, 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Raspisani natječaji za sufinanciranje projekata</w:t>
            </w:r>
            <w:r w:rsidR="00A36EE5" w:rsidRPr="00A737CF">
              <w:rPr>
                <w:rFonts w:ascii="Calibri" w:hAnsi="Calibri" w:cs="Calibri"/>
                <w:bCs/>
                <w:sz w:val="18"/>
                <w:szCs w:val="18"/>
              </w:rPr>
              <w:t>, Zakon o strateškom planiranju</w:t>
            </w:r>
            <w:r w:rsidR="006A4A9A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005480" w:rsidRPr="00005480" w14:paraId="243C786F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19A8" w14:textId="77777777" w:rsidR="00F74727" w:rsidRPr="00A737CF" w:rsidRDefault="00F74727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342901F2" w14:textId="27DE4D77" w:rsidR="00E45EDD" w:rsidRPr="00005480" w:rsidRDefault="00783F1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Praćenje javnih poziva i priprema projekta prvi su koraci u prijavi i odobrenju sredstava. Izuzetno je važna kvalitetna priprema dokumentacije za programe prijave i provedbe projekata na </w:t>
            </w:r>
            <w:r w:rsidR="00A737CF" w:rsidRPr="00A737CF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javne pozive</w:t>
            </w:r>
            <w:r w:rsidRPr="00A737CF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za dobivanje bespovratnih sredstava iz strukturnih fondova, kao i suradnja i kompetencije prijavitelja i partnera na projektima. Nužno je uzeti u obzir i financijski kapacitet Grada Crikvenice u dijelu vlastitih sredstava, kao i sam tijek provedbe projekta u  slučaju neizvršavanja ugovorenih obveza što može dovesti i do povrata dobivenih sredstava. U slučaju kompleksnosti projekta i nedostatnih vlastitih kapaciteta potrebno je angažirati vanjske stručnjake</w:t>
            </w:r>
            <w:r w:rsidRPr="00005480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  <w:t>.</w:t>
            </w:r>
          </w:p>
        </w:tc>
      </w:tr>
      <w:tr w:rsidR="00005480" w:rsidRPr="00005480" w14:paraId="1E17B316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F3CB" w14:textId="77777777" w:rsidR="00F74727" w:rsidRPr="00A737CF" w:rsidRDefault="00F7472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737CF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706998CC" w14:textId="5F98426E" w:rsidR="00977768" w:rsidRPr="00005480" w:rsidRDefault="00A2073B" w:rsidP="00B033EB">
            <w:pPr>
              <w:spacing w:after="0" w:line="240" w:lineRule="auto"/>
              <w:ind w:firstLine="39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Nema odstupanja od prošlogodišnjih projekcija</w:t>
            </w:r>
            <w:r w:rsidR="001A6E10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  <w:tr w:rsidR="00005480" w:rsidRPr="00005480" w14:paraId="58BCED25" w14:textId="77777777" w:rsidTr="002C5784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238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2128"/>
              <w:gridCol w:w="1134"/>
              <w:gridCol w:w="1134"/>
              <w:gridCol w:w="992"/>
              <w:gridCol w:w="992"/>
              <w:gridCol w:w="851"/>
              <w:gridCol w:w="717"/>
            </w:tblGrid>
            <w:tr w:rsidR="00005480" w:rsidRPr="00005480" w14:paraId="55A8E36E" w14:textId="77777777" w:rsidTr="00D44662">
              <w:trPr>
                <w:trHeight w:val="1215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AC1BB1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1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D31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658D1E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E362FC" w14:textId="24DBB26D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B2530"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</w:t>
                  </w:r>
                  <w:r w:rsidR="00B357B8"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</w:t>
                  </w: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1592208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7B7300" w14:textId="3969BD12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</w:t>
                  </w: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F779F5" w14:textId="627FC54B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</w:t>
                  </w: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7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0E4CE7" w14:textId="2E13CD9C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B357B8"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</w:t>
                  </w: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005480" w14:paraId="20E14F84" w14:textId="77777777" w:rsidTr="00D44662">
              <w:trPr>
                <w:trHeight w:val="145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29D591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Izrada dokumentacije za prijave na fondove EU i ostale natječaje za Grad i proračunske korisnike bez korištenja usluga vanjskih konzultanata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F2F704" w14:textId="536FEBD4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FB1809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Izrađena dokumentacija za prijave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D60B53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7D6B3D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87AED7" w14:textId="16D5F9BF" w:rsidR="00FA793B" w:rsidRPr="00A737CF" w:rsidRDefault="00B357B8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4B6A55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3B455F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</w:tr>
            <w:tr w:rsidR="00005480" w:rsidRPr="00005480" w14:paraId="4FD0D0C0" w14:textId="77777777" w:rsidTr="00D44662">
              <w:trPr>
                <w:trHeight w:val="136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4341F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Prijavljeni projekti na nacionalne javne pozive  i javne pozive za sufinanciranje iz EU fondova bez korištenja usluga vanjskih konzultanata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4079CD" w14:textId="14DECD95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8DA714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 xml:space="preserve">Broj  prijava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4FA2E6" w14:textId="31327756" w:rsidR="00FA793B" w:rsidRPr="00A737CF" w:rsidRDefault="00446044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293C54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C3635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B88B56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63449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</w:tr>
            <w:tr w:rsidR="00005480" w:rsidRPr="00005480" w14:paraId="494F8168" w14:textId="77777777" w:rsidTr="00D44662">
              <w:trPr>
                <w:trHeight w:val="1035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E535E3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Odobreni projekti 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50FAAA" w14:textId="003A88F0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Sredstva za sufinanciranje odobravaju  se po provedenoj kontroli prijava, formalnoj kontroli ali ovisi i o broju prijavitelja i raspoloživim sredstvima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AD2440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Broj ugovora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547295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BC94F9" w14:textId="77777777" w:rsidR="00FA793B" w:rsidRPr="00A737CF" w:rsidRDefault="00FA793B" w:rsidP="00FA793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BDBF1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1216AF7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116B55" w14:textId="77777777" w:rsidR="00FA793B" w:rsidRPr="00A737CF" w:rsidRDefault="00FA793B" w:rsidP="00FA793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A737C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</w:tr>
          </w:tbl>
          <w:p w14:paraId="552071DC" w14:textId="313A96EA" w:rsidR="00FA793B" w:rsidRPr="00005480" w:rsidRDefault="00FA793B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1B057B8B" w14:textId="3231171F" w:rsidR="009A4FDF" w:rsidRPr="00005480" w:rsidRDefault="009A4FDF" w:rsidP="006A4A9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B357B8" w:rsidRPr="00F72F50" w14:paraId="011A9CD2" w14:textId="77777777" w:rsidTr="002C5784">
        <w:trPr>
          <w:trHeight w:val="26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725B05" w14:textId="77777777" w:rsidR="00B357B8" w:rsidRPr="00801C7F" w:rsidRDefault="00B357B8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2203 Otplata kredita</w:t>
            </w:r>
          </w:p>
        </w:tc>
      </w:tr>
      <w:tr w:rsidR="00B357B8" w:rsidRPr="003E2D5C" w14:paraId="24838D72" w14:textId="77777777" w:rsidTr="002C5784">
        <w:trPr>
          <w:trHeight w:val="576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DB22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Opis programa, svrha programa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:</w:t>
            </w:r>
          </w:p>
          <w:p w14:paraId="7029A60E" w14:textId="77777777" w:rsidR="00B357B8" w:rsidRPr="00977768" w:rsidRDefault="00B357B8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  <w:p w14:paraId="08D45276" w14:textId="6F434F09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Proračunski deficit financira se zaduživanjem ili prodajom imovine.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Često je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bolji izbor zaduživanje, iz razloga što se kredit otplati, a imovinu uglavnom nepovratno izgubimo. Zaduživanje se provodi </w:t>
            </w:r>
            <w:r w:rsidR="00111B35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isključivo </w:t>
            </w: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za financiranje investicijskih projekata. </w:t>
            </w:r>
          </w:p>
          <w:p w14:paraId="1A2DD7BD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</w:p>
          <w:p w14:paraId="6BBA1BE3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Ciljevi provedbe programa u razdoblju 202</w:t>
            </w:r>
            <w: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.-202</w:t>
            </w:r>
            <w:r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977768">
              <w:rPr>
                <w:rFonts w:eastAsia="Times New Roman" w:cstheme="minorHAnsi"/>
                <w:b/>
                <w:color w:val="000000" w:themeColor="text1"/>
                <w:sz w:val="18"/>
                <w:szCs w:val="18"/>
                <w:lang w:eastAsia="hr-HR"/>
              </w:rPr>
              <w:t>.</w:t>
            </w:r>
          </w:p>
          <w:p w14:paraId="5DCCD670" w14:textId="77777777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cstheme="minorHAnsi"/>
                <w:color w:val="000000" w:themeColor="text1"/>
                <w:sz w:val="18"/>
                <w:szCs w:val="18"/>
              </w:rPr>
              <w:t>Cilj 1:  Održavanje nivoa zaduženja vezano za zakonsko ograničenje zaduživanja je 20% prihoda proračuna realiziranih u prethodnoj godini</w:t>
            </w:r>
          </w:p>
          <w:p w14:paraId="164B7403" w14:textId="3DC6C20B" w:rsidR="00B357B8" w:rsidRPr="00977768" w:rsidRDefault="00B357B8" w:rsidP="0075331C">
            <w:pPr>
              <w:tabs>
                <w:tab w:val="left" w:pos="0"/>
                <w:tab w:val="left" w:pos="680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977768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U </w:t>
            </w:r>
            <w:r w:rsidR="002C5784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2023. godini ne planira se novo kreditno zaduženje.</w:t>
            </w:r>
          </w:p>
          <w:p w14:paraId="67AE4B17" w14:textId="77777777" w:rsidR="00B357B8" w:rsidRPr="00977768" w:rsidRDefault="00B357B8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65D60AF4" w14:textId="77777777" w:rsidR="00B357B8" w:rsidRDefault="00B357B8" w:rsidP="00B35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AE64858" w14:textId="77777777" w:rsidR="00B357B8" w:rsidRDefault="00B357B8" w:rsidP="006A4A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A4A9A" w:rsidRPr="00F72F50" w14:paraId="38983D9C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52FA" w14:textId="546C319C" w:rsidR="00221F75" w:rsidRDefault="006A4A9A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77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Procjena i ishodište potrebnih sredstava za aktivnosti/projekte unutar programa</w:t>
            </w:r>
          </w:p>
          <w:p w14:paraId="5D543BEF" w14:textId="038C2176" w:rsidR="00F5779E" w:rsidRDefault="00F5779E" w:rsidP="00F577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W w:w="10984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626"/>
              <w:gridCol w:w="1392"/>
              <w:gridCol w:w="1315"/>
              <w:gridCol w:w="1276"/>
              <w:gridCol w:w="1179"/>
              <w:gridCol w:w="1235"/>
              <w:gridCol w:w="236"/>
            </w:tblGrid>
            <w:tr w:rsidR="000D0C93" w:rsidRPr="000D0C93" w14:paraId="6B058E50" w14:textId="77777777" w:rsidTr="002C5784">
              <w:trPr>
                <w:gridAfter w:val="1"/>
                <w:wAfter w:w="236" w:type="dxa"/>
                <w:trHeight w:val="509"/>
              </w:trPr>
              <w:tc>
                <w:tcPr>
                  <w:tcW w:w="27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08193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62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BB9CA8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3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75BEC9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31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A24F246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66F2553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17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0F795FA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12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54173D4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0D0C93" w:rsidRPr="000D0C93" w14:paraId="213A65F2" w14:textId="77777777" w:rsidTr="002C5784">
              <w:trPr>
                <w:trHeight w:val="20"/>
              </w:trPr>
              <w:tc>
                <w:tcPr>
                  <w:tcW w:w="27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318E78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62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B3371BA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9EC822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97098D7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FA45DCC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7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AF5850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4DBE2F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FA2EE" w14:textId="77777777" w:rsidR="000D0C93" w:rsidRPr="000D0C93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0D0C93" w:rsidRPr="000D0C93" w14:paraId="3384FACF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65B47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2203 Otplata kredita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C8A12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1.303.586,67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DC2FC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1.088.857,94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22163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1.162.190,69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BA76B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1.148.040,69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6A5D8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1.134.390,69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9292F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106,73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41C7A1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48AA7EB3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9695FE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T220302 OTPLATA KREDITA PREMA PROGRAMIMA 2011. GODINE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F04ECF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100.348,19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049D3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112.150,78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0F679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112.490,69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0629A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111.990,69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C78DA0A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111.490,69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517A7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100,30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7D3EFFC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7DF81FC0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CB75F0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785B0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3.018,14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4898B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5.972,53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16C23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5.500,00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26E61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550BB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AE664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92,09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3095CD77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0F225970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E6FA91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27633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97.330,05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162D5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106.178,25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D54B5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106.990,69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B7934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106.990,69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99183A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106.990,69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434D5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100,77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0FFA447E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048E9F9E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CDD1FD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T220303 OTPLATA KRATKOROČNIH KREDITA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9FDA88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322.376,18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3655A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8093A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AD390C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7250D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94D70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#DIV/0!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60ABA02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2476912B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8E2F6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BDC62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322.376,18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66CAEA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832E3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90476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0FEAF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B620E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#DIV/0!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1944F0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12B29645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ABDA43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T220305 OTPLATA KREDITA PREMA PROGRAMIMA 2017. GODINE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E12CA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248.342,23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7B0DA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250.182,50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C7E41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248.000,00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985013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246.000,00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8C9F2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C284E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99,13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87103FC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3775F145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3B7FA0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9BFD8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17.404,55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5B280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19.244,81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1B362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FA985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B337B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6C655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88,34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D78342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2D4F8480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B5BEF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6B7D2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230.937,68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ACBA8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230.937,69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7B93F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231.000,00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E8784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231.000,00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5ACD7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231.000,00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E89961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F4ECE5D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24A3A798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9AFD9C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T220309 OTPLATA KREDITA PREMA PROGRAMIMA 2021.  GODINE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00451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65,20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66F05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86.933,44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1E74E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169.000,00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775FB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167.500,00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A0BAB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166.500,00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628BFC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194,40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1451E3FA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5B1F3608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61276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B320C5C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65,20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11131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7.299,75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173CB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820C9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7.500,00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229759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B90E3F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123,29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4085767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0C300A85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768B99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A4597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708863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79.633,69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10D17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4120B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2900B4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160.000,00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0E837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200,92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6D6DED9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09838846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104212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T220310 OTPLATA KREDITA PREMA PROGRAMIMA 2020 GODINE - ESB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C3776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618.738,76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C822C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611.852,15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5EAF1E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605.000,00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4EFAF1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595.000,00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FDE02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585.000,00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F8DABA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98,88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003F27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52B67BF1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0F9563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E2B40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83.865,84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21722C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76.979,23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25BEC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13B182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8D6EF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E6D00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90,93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5AC856CA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63BC2C6D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BDB05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236AC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534.872,92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C508D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534.872,92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F1468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535.000,00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2B466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535.000,00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393223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535.000,00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E455C8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5FC8662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2A552BF9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012EBC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Tekući projekt T220311 OTPLATA KREDITA PREMA PROGRAMIMA 2020 GODINE - HBOR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6AB3AB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13.716,11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D7B8B0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27.739,07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905DB6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27.700,00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867D95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27.550,00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30AEB9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27.400,00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FC4CFA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99,86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6E220636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54CC2BB9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84A7BB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Kamate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23743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1.105,37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2E6688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1.194,51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202F3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FC1546F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D10A47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842B9E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92,09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758A46D4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D0C93" w:rsidRPr="000D0C93" w14:paraId="74A9CB86" w14:textId="77777777" w:rsidTr="002C5784">
              <w:trPr>
                <w:trHeight w:val="20"/>
              </w:trPr>
              <w:tc>
                <w:tcPr>
                  <w:tcW w:w="27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7B64A06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-       Glavnica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429EA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12.610,74</w:t>
                  </w: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CD1150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26.544,56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1DD6B9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26.600,00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AC33494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26.600,00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C4D32D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26.600,00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2E65525" w14:textId="77777777" w:rsidR="000D0C93" w:rsidRPr="000D0C93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236" w:type="dxa"/>
                  <w:vAlign w:val="center"/>
                  <w:hideMark/>
                </w:tcPr>
                <w:p w14:paraId="295D2038" w14:textId="77777777" w:rsidR="000D0C93" w:rsidRPr="000D0C93" w:rsidRDefault="000D0C93" w:rsidP="000D0C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1BD0FD11" w14:textId="77777777" w:rsidR="00B66D50" w:rsidRDefault="00B66D50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FA56ECA" w14:textId="02AF5809" w:rsidR="006A4A9A" w:rsidRPr="00F72F50" w:rsidRDefault="006A4A9A" w:rsidP="00B66D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801C7F"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2011. GODINE</w:t>
            </w:r>
          </w:p>
        </w:tc>
      </w:tr>
      <w:tr w:rsidR="006A4A9A" w:rsidRPr="00F72F50" w14:paraId="39EEDEC9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57D2" w14:textId="0772A68D" w:rsidR="006A4A9A" w:rsidRPr="00C246B5" w:rsidRDefault="006A4A9A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2DB5FE70" w14:textId="5F49F802" w:rsidR="006A4A9A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6A4A9A" w:rsidRPr="00F72F50" w14:paraId="6C0583E0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A588" w14:textId="77777777" w:rsidR="006A4A9A" w:rsidRPr="00F74727" w:rsidRDefault="006A4A9A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40C0415" w14:textId="5636D345" w:rsidR="00AC0218" w:rsidRPr="00F74727" w:rsidRDefault="00AC0218" w:rsidP="00AC021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2011. godine  kod Zagrebačke banke d.d. uzet je u iznosu 11.000.000 kuna sukladno Odluci Gradskog vijeća od 20. listopada 2011. godine („Službene novine Primorsko-goranske županije“ broj  35/11.). Kredit ima valutnu klauzulu u EUR (24.418,52 EUR kvartalno), rok otplate je 15 godina, bez počeka, s otplatom u 60 tromjesečnih rata i tromjesečni obračun kamata,  s početkom otplate 31.03.2012. godine  uz varijabilnu kamatnu stopu tromjesečni EURIBOR +1,09 % godišnje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A4A9A" w:rsidRPr="00F72F50" w14:paraId="52B1B938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17F2" w14:textId="77777777" w:rsidR="006A4A9A" w:rsidRPr="00C246B5" w:rsidRDefault="006A4A9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Razlog odstupanja od prošlogodišnjih projekcija</w:t>
            </w:r>
          </w:p>
          <w:p w14:paraId="0120643A" w14:textId="18A4C107" w:rsidR="006A4A9A" w:rsidRPr="00C246B5" w:rsidRDefault="00C02C41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</w:t>
            </w:r>
            <w:r w:rsidR="002C5784"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nema odstupanja</w:t>
            </w:r>
            <w:r w:rsid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iznosi su planirani u EUR.</w:t>
            </w:r>
            <w:r w:rsidRPr="002C578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FA793B" w:rsidRPr="00F72F50" w14:paraId="30E3B98B" w14:textId="77777777" w:rsidTr="00E45EDD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9538" w14:textId="77777777" w:rsidR="00FA793B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A14894A" w14:textId="33BC3D5E" w:rsidR="001E63BA" w:rsidRPr="001E63BA" w:rsidRDefault="001E63BA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  <w:r w:rsidR="00E45EDD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458B9347" w14:textId="73E8E4FB" w:rsidR="006A4A9A" w:rsidRDefault="006A4A9A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A56C84" w14:textId="77777777" w:rsidR="00B033EB" w:rsidRDefault="00B033EB" w:rsidP="006A4A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01C7F" w:rsidRPr="00F72F50" w14:paraId="75528D46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3179" w14:textId="77777777" w:rsidR="00801C7F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3C03B564" w14:textId="738F3756" w:rsidR="00801C7F" w:rsidRPr="00F72F50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T220302 OTPLATA KREDITA PREMA PROGRAMIMA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01C7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. GODINE</w:t>
            </w:r>
          </w:p>
        </w:tc>
      </w:tr>
      <w:tr w:rsidR="00801C7F" w:rsidRPr="00F72F50" w14:paraId="10012C7F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AF5C" w14:textId="77777777" w:rsidR="00801C7F" w:rsidRPr="00C246B5" w:rsidRDefault="00801C7F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10E6338" w14:textId="49C77301" w:rsidR="00801C7F" w:rsidRPr="00F74727" w:rsidRDefault="00801C7F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</w:t>
            </w:r>
          </w:p>
        </w:tc>
      </w:tr>
      <w:tr w:rsidR="00801C7F" w:rsidRPr="00F72F50" w14:paraId="22E8A600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4ACC0" w14:textId="77777777" w:rsidR="00801C7F" w:rsidRPr="00F74727" w:rsidRDefault="00801C7F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6C340675" w14:textId="7D9139CD" w:rsidR="00801C7F" w:rsidRPr="00F74727" w:rsidRDefault="00AC0218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Kredit iz 2017. godine  kod Erste &amp;</w:t>
            </w:r>
            <w:r w:rsidR="00E07C4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DC306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rmarkische bank d.d.  uzet je u iznosu 17.400,000,00  kuna bez valutne klauzule sukladno Odluci Gradskog vijeća od 17. listopada 2017. godine („Službene novine Grada Crikvenice“ broj  36/17.). Rok otplate je 10 godina, bez počeka, s početkom otplate 31.03.2018. godine,   otplatom u 40 tromjesečnih rata i tromjesečni obračun kamata uz varijabilnu kamatnu 3-mjesečni Trezorski zapisi Ministarstva financija  RH+ 1,10% godišnje.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krajem 202</w:t>
            </w:r>
            <w:r w:rsidR="008B0FA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godine.</w:t>
            </w:r>
          </w:p>
        </w:tc>
      </w:tr>
      <w:tr w:rsidR="00801C7F" w:rsidRPr="00F72F50" w14:paraId="24D8B02F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C44" w14:textId="77777777" w:rsidR="00801C7F" w:rsidRPr="00C246B5" w:rsidRDefault="00801C7F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072B57EC" w14:textId="112C6C06" w:rsidR="00801C7F" w:rsidRPr="00C246B5" w:rsidRDefault="002C5784" w:rsidP="001E6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odnosu na prošlogodišnje projekcije nema odstupanja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iznosi su planirani u EUR.</w:t>
            </w:r>
          </w:p>
        </w:tc>
      </w:tr>
      <w:tr w:rsidR="001E63BA" w:rsidRPr="00F72F50" w14:paraId="54661A9D" w14:textId="77777777" w:rsidTr="00C02C41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DE3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394CDA79" w14:textId="6AA83A09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5F3B2611" w14:textId="7C5B4EEE" w:rsidR="00FF598D" w:rsidRDefault="00FF598D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5F0047C" w14:textId="77777777" w:rsidR="00B033EB" w:rsidRDefault="00B033EB" w:rsidP="00801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5B6F58EE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7F36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B13C9E" w14:textId="5F383FF6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071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T220310 OTPLATA KREDITA PREMA PROGRAMIMA 2020 GODINE - ESB</w:t>
            </w:r>
          </w:p>
        </w:tc>
      </w:tr>
      <w:tr w:rsidR="008B0717" w:rsidRPr="00F72F50" w14:paraId="0A505335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9301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591B6075" w14:textId="0BFA9A36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Zakon o proračunu, Pravilnik o postupku zaduživanja jedinica lokalne i područne (regionalne) samouprave i davanju jamstva jedinica lokalne i područne (regionalne) samouprave, Odluka o izvršavanju proračuna Grada Crikvenice </w:t>
            </w:r>
          </w:p>
        </w:tc>
      </w:tr>
      <w:tr w:rsidR="008B0717" w:rsidRPr="00F72F50" w14:paraId="722DC4F0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BE8B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535EAD5E" w14:textId="7E4A11E3" w:rsidR="008B0717" w:rsidRPr="00F7472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U 2020. godini 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kod Erste &amp;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Ste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rmarkische bank d.d.  uzet je u iznosu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40.300.000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,00  kuna sukladno Odluci Gradskog vijeća od 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15. travnja 2020. godine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(„Službene novine Grada Crikvenice“ broj 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83/20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.). Rok otplate je 10 godina, bez počeka, s početkom otplate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31.12.2020.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,   otplatom u 40 tromjesečnih rata i tromjesečni obračun kamata uz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1,65% godišnje</w:t>
            </w:r>
            <w:r w:rsidR="00004583"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Kredit završava s otplatom 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9</w:t>
            </w:r>
            <w:r w:rsidR="004844F2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30</w:t>
            </w:r>
            <w:r w:rsidR="00004583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 godine</w:t>
            </w:r>
            <w:r w:rsidR="00BE108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</w:tr>
      <w:tr w:rsidR="008B0717" w:rsidRPr="00F72F50" w14:paraId="33C5C27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64B8" w14:textId="77777777" w:rsidR="00BE1088" w:rsidRPr="00C246B5" w:rsidRDefault="00BE1088" w:rsidP="00BE1088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2885E598" w14:textId="22E27202" w:rsidR="008B0717" w:rsidRPr="00C246B5" w:rsidRDefault="002C5784" w:rsidP="00221F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odnosu na prošlogodišnje projekcije nema odstupanja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iznosi su planirani u EUR.</w:t>
            </w:r>
          </w:p>
        </w:tc>
      </w:tr>
      <w:tr w:rsidR="008B0717" w:rsidRPr="00F72F50" w14:paraId="0D81E3B9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7605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73368464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72A3DBF7" w14:textId="20C34123" w:rsidR="008B0717" w:rsidRPr="00B033EB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A6A6F0" w14:textId="77777777" w:rsidR="00B033EB" w:rsidRPr="00B033EB" w:rsidRDefault="00B033EB" w:rsidP="008B2B6E">
      <w:pPr>
        <w:pStyle w:val="Odlomakpopisa"/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0717" w:rsidRPr="00F72F50" w14:paraId="32FDEC93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CF51" w14:textId="77777777" w:rsidR="008B0717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2A9F0E8C" w14:textId="18530257" w:rsidR="008B0717" w:rsidRPr="00F72F50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4844F2" w:rsidRPr="004844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T220311 OTPLATA KREDITA PREMA PROGRAMIMA 2020 GODINE - HBOR</w:t>
            </w:r>
          </w:p>
        </w:tc>
      </w:tr>
      <w:tr w:rsidR="008B0717" w:rsidRPr="00F72F50" w14:paraId="5C7B7E2A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8377" w14:textId="77777777" w:rsidR="008B0717" w:rsidRPr="00C246B5" w:rsidRDefault="008B0717" w:rsidP="009117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34E551AF" w14:textId="77777777" w:rsidR="008B0717" w:rsidRPr="00F74727" w:rsidRDefault="008B0717" w:rsidP="009117A4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20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0717" w:rsidRPr="00F72F50" w14:paraId="0D562797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F810" w14:textId="77777777" w:rsidR="008B0717" w:rsidRPr="00F74727" w:rsidRDefault="008B0717" w:rsidP="009117A4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15703962" w14:textId="199316A0" w:rsidR="008B0717" w:rsidRPr="00F74727" w:rsidRDefault="00783F1B" w:rsidP="004844F2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lastRenderedPageBreak/>
              <w:t xml:space="preserve">U 2020. godini dana je suglasnost Gradskog vijeća za zaduženje kod HBOR-a  20. veljače 2020. godine za kredit u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iznosu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2.700.000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energetsku učinkovitost OŠ Zvonka Cara, sve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sukladno Odluci Gradskog vijeća od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15. travnja 2020. godine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78/20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Ministarstva financija 14. travnja 2020.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otplatom u 40 tromjesečnih rata i tromjesečni obračun kamata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nakon dovršetka investicije u 09. mjesecu 2021. godine. Kredit završava s otplatom u 6. mjesecu 2031. godine.  U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2020. godini uplaćeno je kreditnih sredstava po ovom kreditu 886.559,77 kuna.  U 2021. godini uplaćeno je  1.013.752,33 kuna kreditnih sredstava po odobrenju HBOR-a a nakon ovjere ZNS-a.  Iako je suglasnost za kreditno zaduženje  2.700.000 kuna ovo je kreditno zaduženje realizirano u iznosu od 1.900.312,10 kuna koliko je bilo potrebno za </w:t>
            </w:r>
            <w:r w:rsidRPr="00C303FA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energetsku učinkovitost OŠ </w:t>
            </w:r>
            <w:r w:rsidRPr="00BA6FD0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Zvonka Cara.</w:t>
            </w:r>
          </w:p>
        </w:tc>
      </w:tr>
      <w:tr w:rsidR="008B0717" w:rsidRPr="00F72F50" w14:paraId="6FDC2868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B79A" w14:textId="77777777" w:rsidR="00DA453A" w:rsidRPr="00C246B5" w:rsidRDefault="00DA453A" w:rsidP="00DA453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C246B5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Razlog odstupanja od prošlogodišnjih projekcija</w:t>
            </w:r>
          </w:p>
          <w:p w14:paraId="4EDC2DF6" w14:textId="7D025BB7" w:rsidR="00782867" w:rsidRPr="00FF598D" w:rsidRDefault="002C5784" w:rsidP="00221F75">
            <w:pPr>
              <w:jc w:val="both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odnosu na prošlogodišnje projekcije nema odstupanja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iznosi su planirani u EUR.</w:t>
            </w:r>
          </w:p>
        </w:tc>
      </w:tr>
      <w:tr w:rsidR="008B0717" w:rsidRPr="00F72F50" w14:paraId="731E0612" w14:textId="77777777" w:rsidTr="008B0717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0927" w14:textId="77777777" w:rsidR="008B0717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64F7023F" w14:textId="77777777" w:rsidR="008B0717" w:rsidRPr="00C246B5" w:rsidRDefault="008B0717" w:rsidP="009117A4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no bitno je da kreditno zaduženje bude u zakonski zadanim okvirima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ali i da ne utječe znatno na smanjenje likvidnosti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 xml:space="preserve"> odnosno da su realizirani prihodi dostatni za otplatu kredita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</w:tr>
    </w:tbl>
    <w:p w14:paraId="61DBE2EA" w14:textId="77777777" w:rsidR="008B0717" w:rsidRDefault="008B0717" w:rsidP="008B07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8B9516E" w14:textId="77777777" w:rsidR="008B0717" w:rsidRDefault="008B0717" w:rsidP="008B2B6E">
      <w:pPr>
        <w:pStyle w:val="Odlomakpopisa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B2B6E" w:rsidRPr="00F72F50" w14:paraId="63A92F2E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233D" w14:textId="77777777" w:rsidR="008B2B6E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0FBB706" w14:textId="1534C75C" w:rsidR="008B2B6E" w:rsidRPr="00F72F50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Tekući projekt T220309 OTPLATA KREDITA PREMA PROGRAMIMA 2021.  GODINE</w:t>
            </w:r>
          </w:p>
        </w:tc>
      </w:tr>
      <w:tr w:rsidR="008B2B6E" w:rsidRPr="00F72F50" w14:paraId="569CCABC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D4EB" w14:textId="77777777" w:rsidR="008B2B6E" w:rsidRPr="00C246B5" w:rsidRDefault="008B2B6E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188C3A14" w14:textId="20275C28" w:rsidR="008B2B6E" w:rsidRPr="00F74727" w:rsidRDefault="008B2B6E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Zakon o proračunu, Pravilnik o postupku zaduživanja jedinica lokalne i područne (regionalne) samouprave i davanju jamstva jedinica lokalne i područne (regionalne) samouprave, Odluka o izvršavanju proračuna Grada Crikvenice za 20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2</w:t>
            </w:r>
            <w:r w:rsidR="00FD0B72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1</w:t>
            </w:r>
            <w:r w:rsidRPr="00801C7F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.godinu</w:t>
            </w:r>
          </w:p>
        </w:tc>
      </w:tr>
      <w:tr w:rsidR="008B2B6E" w:rsidRPr="00F72F50" w14:paraId="19649389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7459" w14:textId="77777777" w:rsidR="008B2B6E" w:rsidRPr="00F74727" w:rsidRDefault="008B2B6E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09EE634F" w14:textId="6923268F" w:rsidR="00FD0B72" w:rsidRPr="00F74727" w:rsidRDefault="00783F1B" w:rsidP="00ED2846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U 2021 . godini dana je suglasnost Gradskog vijeća za zaduženje kod HBOR-a  08. ožujka 2021. godine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za kredit u iznosu 12.000.000 kuna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(„Službene novine Grada Crikvenice“ broj 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103/21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.)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 Za isto je dobivena i suglasnost Vlade RH  02. lipnja 2021. godine.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Rok otplate je 10 godina, bez počeka,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otplatom u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120 mjesečnih 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rata  uz 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fiksnu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kamatnu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stopu od 0,5% godišnje</w:t>
            </w:r>
            <w:r w:rsidRPr="00AC0218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Otplata kredita započela je u 07</w:t>
            </w:r>
            <w:r w:rsidR="00111B35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mjesecu 2022. godine nakon dovršetka investicije i plasiranja sredstava od HBOR-a.</w:t>
            </w:r>
            <w:r w:rsidR="00EA1BA9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Iskorišteni iznos kredita je 11.989.375 kuna.</w:t>
            </w: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 Namjena kredita je energetska učinkovitost javne rasvjete.</w:t>
            </w:r>
          </w:p>
        </w:tc>
      </w:tr>
      <w:tr w:rsidR="008B2B6E" w:rsidRPr="00F72F50" w14:paraId="1768FCD8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0CAB" w14:textId="77777777" w:rsidR="001E63BA" w:rsidRPr="00F402FF" w:rsidRDefault="008B2B6E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402FF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Razlog odstupanja od prošlogodišnjih projekcija</w:t>
            </w:r>
          </w:p>
          <w:p w14:paraId="162EAB29" w14:textId="11B0A0FB" w:rsidR="008B2B6E" w:rsidRPr="00F402FF" w:rsidRDefault="002C5784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2C578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U odnosu na prošlogodišnje projekcije nema odstupanja</w:t>
            </w:r>
            <w:r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, iznosi su planirani u EUR.</w:t>
            </w:r>
          </w:p>
        </w:tc>
      </w:tr>
      <w:tr w:rsidR="001E63BA" w:rsidRPr="00F72F50" w14:paraId="1B740344" w14:textId="77777777" w:rsidTr="00B033EB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1926" w14:textId="77777777" w:rsidR="001E63BA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uspješnosti:</w:t>
            </w:r>
          </w:p>
          <w:p w14:paraId="47CCEB84" w14:textId="4E07B1A7" w:rsidR="001E63BA" w:rsidRPr="00C246B5" w:rsidRDefault="001E63BA" w:rsidP="001E63B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E63BA">
              <w:rPr>
                <w:rFonts w:ascii="Calibri" w:hAnsi="Calibri" w:cs="Calibri"/>
                <w:bCs/>
                <w:sz w:val="18"/>
                <w:szCs w:val="18"/>
              </w:rPr>
              <w:t>Ovaj program nema direktni pokazatelj uspješnosti no bitno je da kreditno zaduženje bude u zakonski zadanim okvirima ali i da ne utječe znatno na smanjenje likvidnosti odnosno da su realizirani prihodi dostatni za  otplatu kredita</w:t>
            </w:r>
          </w:p>
        </w:tc>
      </w:tr>
    </w:tbl>
    <w:p w14:paraId="4F350C98" w14:textId="313B4208" w:rsidR="00195257" w:rsidRDefault="00195257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D1B0E98" w14:textId="620BA6CC" w:rsidR="00783F1B" w:rsidRDefault="00783F1B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31188AE5" w14:textId="77777777" w:rsidTr="007533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AE9860" w14:textId="77777777" w:rsidR="00783F1B" w:rsidRPr="00801C7F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A4A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AM </w:t>
            </w:r>
            <w:r w:rsidRPr="008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4802 Održavanje informacijskog sustava</w:t>
            </w:r>
          </w:p>
        </w:tc>
      </w:tr>
      <w:tr w:rsidR="00783F1B" w:rsidRPr="003E2D5C" w14:paraId="7DE83731" w14:textId="77777777" w:rsidTr="007533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3BE0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1926BB32" w14:textId="77777777" w:rsidR="00783F1B" w:rsidRPr="00E45EDD" w:rsidRDefault="00783F1B" w:rsidP="0075331C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E45EDD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U ovom programu planiraju se sredstava za održavanje računalnih programa, održavanje cijelog informacijskog sustava u skladu s izmjenama trendova koje su u ovom području jako intenzivne</w:t>
            </w:r>
          </w:p>
        </w:tc>
      </w:tr>
      <w:tr w:rsidR="00783F1B" w:rsidRPr="003E2D5C" w14:paraId="1D1F2BB6" w14:textId="77777777" w:rsidTr="007533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A3E52" w14:textId="7C5D3E4C" w:rsidR="00783F1B" w:rsidRPr="00037F8A" w:rsidRDefault="00E01555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2023.-20</w:t>
            </w:r>
            <w:r w:rsidR="00111B3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25.</w:t>
            </w:r>
          </w:p>
          <w:p w14:paraId="4855C2CE" w14:textId="77777777" w:rsidR="00783F1B" w:rsidRPr="00037F8A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037F8A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ovog programa je funkcionalna ispravnost informacijskog sustava do razine isplativosti. Također je cilj poštivati zakonitost u dijelu korištenja softvera.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Cilj je postići adekvatan kapacitet, brzinu i sigurnost mreže i ostalog hardvera što je preduvjet uspješnog funkcioniranja gradske uprave.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933E94">
              <w:rPr>
                <w:rFonts w:cstheme="minorHAnsi"/>
                <w:color w:val="000000" w:themeColor="text1"/>
                <w:sz w:val="18"/>
                <w:szCs w:val="18"/>
              </w:rPr>
              <w:t>Isto tako, uz redovno održavanje softvera ne dolazi do zastoja u radu gradske uprave i samim time je ista efikasnija.</w:t>
            </w:r>
          </w:p>
        </w:tc>
      </w:tr>
    </w:tbl>
    <w:p w14:paraId="1147863E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83F1B" w:rsidRPr="00F72F50" w14:paraId="68FB9D7E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BBE1" w14:textId="77777777" w:rsidR="00783F1B" w:rsidRDefault="00783F1B" w:rsidP="007533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p w14:paraId="1135B242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0805" w:type="dxa"/>
              <w:tblLayout w:type="fixed"/>
              <w:tblLook w:val="04A0" w:firstRow="1" w:lastRow="0" w:firstColumn="1" w:lastColumn="0" w:noHBand="0" w:noVBand="1"/>
            </w:tblPr>
            <w:tblGrid>
              <w:gridCol w:w="3380"/>
              <w:gridCol w:w="1329"/>
              <w:gridCol w:w="1276"/>
              <w:gridCol w:w="1340"/>
              <w:gridCol w:w="1300"/>
              <w:gridCol w:w="1200"/>
              <w:gridCol w:w="980"/>
            </w:tblGrid>
            <w:tr w:rsidR="002C5784" w:rsidRPr="000D0C93" w14:paraId="3357FF4F" w14:textId="77777777" w:rsidTr="002C5784">
              <w:trPr>
                <w:trHeight w:val="450"/>
              </w:trPr>
              <w:tc>
                <w:tcPr>
                  <w:tcW w:w="3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40449D8" w14:textId="77777777" w:rsidR="00783F1B" w:rsidRPr="000D0C93" w:rsidRDefault="00783F1B" w:rsidP="007533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91C254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9D8E8B5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3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1643994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01A3BB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2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2F302EA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FC3BDE0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2C5784" w:rsidRPr="000D0C93" w14:paraId="2C5E717F" w14:textId="77777777" w:rsidTr="002C5784">
              <w:trPr>
                <w:trHeight w:val="31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1EA57BC" w14:textId="77777777" w:rsidR="00783F1B" w:rsidRPr="000D0C93" w:rsidRDefault="00783F1B" w:rsidP="007533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6349F90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BDA301A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7438A7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1AE2506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CF4685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AD1595F" w14:textId="77777777" w:rsidR="00783F1B" w:rsidRPr="000D0C93" w:rsidRDefault="00783F1B" w:rsidP="0075331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2C5784" w:rsidRPr="000D0C93" w14:paraId="060BD374" w14:textId="77777777" w:rsidTr="002C5784">
              <w:trPr>
                <w:trHeight w:val="300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E34E2C3" w14:textId="77777777" w:rsidR="00783F1B" w:rsidRPr="000D0C93" w:rsidRDefault="00783F1B" w:rsidP="007533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4802 Održavanje informacijskog sustava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EC3393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95.404,72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8354FC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124.029,46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60256E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988DDA7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AC30B4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D5257C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117,88</w:t>
                  </w:r>
                </w:p>
              </w:tc>
            </w:tr>
            <w:tr w:rsidR="002C5784" w:rsidRPr="000D0C93" w14:paraId="471817BF" w14:textId="77777777" w:rsidTr="002C5784">
              <w:trPr>
                <w:trHeight w:val="465"/>
              </w:trPr>
              <w:tc>
                <w:tcPr>
                  <w:tcW w:w="3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BBAE9C" w14:textId="77777777" w:rsidR="00783F1B" w:rsidRPr="000D0C93" w:rsidRDefault="00783F1B" w:rsidP="0075331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Aktivnost A480203 ODRŽAVANJE INFORMACIJSKOG SUSTAVA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264341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95.404,72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EEF160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124.029,46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AEC4C5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BBF8BB1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5EBBC6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146.200,00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35676CB" w14:textId="77777777" w:rsidR="00783F1B" w:rsidRPr="000D0C93" w:rsidRDefault="00783F1B" w:rsidP="0075331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0D0C9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117,88</w:t>
                  </w:r>
                </w:p>
              </w:tc>
            </w:tr>
          </w:tbl>
          <w:p w14:paraId="0253D79A" w14:textId="77777777" w:rsidR="00783F1B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6582E0EC" w14:textId="77777777" w:rsidR="00783F1B" w:rsidRPr="00F72F50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933E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Aktivnost A480203 ODRŽAVANJE INFORMACIJSKOG SUSTAVA</w:t>
            </w:r>
          </w:p>
        </w:tc>
      </w:tr>
      <w:tr w:rsidR="00783F1B" w:rsidRPr="00F72F50" w14:paraId="06A8C5ED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E0DD" w14:textId="77777777" w:rsidR="00783F1B" w:rsidRPr="00C246B5" w:rsidRDefault="00783F1B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lastRenderedPageBreak/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03203BF5" w14:textId="77777777" w:rsidR="00783F1B" w:rsidRPr="00933E94" w:rsidRDefault="00783F1B" w:rsidP="007533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933E9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proračunu, Zakon o javnoj nabavi</w:t>
            </w:r>
          </w:p>
        </w:tc>
      </w:tr>
      <w:tr w:rsidR="00783F1B" w:rsidRPr="00F72F50" w14:paraId="0C66EA68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D71D" w14:textId="77777777" w:rsidR="00783F1B" w:rsidRPr="00F74727" w:rsidRDefault="00783F1B" w:rsidP="007533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74F23EFA" w14:textId="27DBEE8D" w:rsidR="00783F1B" w:rsidRPr="00F74727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8B2B6E"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>Imovinom  Grada upravlja se pažnjom dobrog gospodara i ista mora uvijek biti u stanju pripravnosti radi efikasnijeg rada gradske uprave. Informatička  oprema i softver se održava do razine isplativosti, odnosno kada troškovi održavanja pređu cijenu opreme ili postanu „usko grlo“, ulaže se u  se novu. Za korištenje  programa nužno je obnavljanje licenci i praćenje aktualnih trendova promjena u dinamičkom informatičkom okruženju.</w:t>
            </w:r>
          </w:p>
        </w:tc>
      </w:tr>
      <w:tr w:rsidR="00783F1B" w:rsidRPr="00F72F50" w14:paraId="0FA4A12B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5119" w14:textId="77777777" w:rsidR="00783F1B" w:rsidRPr="00355830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5583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Razlog odstupanja od prošlogodišnjih projekcija</w:t>
            </w:r>
          </w:p>
          <w:p w14:paraId="752AA25C" w14:textId="0D11FDE1" w:rsidR="00355830" w:rsidRPr="008C3F5E" w:rsidRDefault="002C5784" w:rsidP="0075331C">
            <w:pPr>
              <w:spacing w:after="0" w:line="240" w:lineRule="auto"/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</w:pPr>
            <w:r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projekcije prethodne godine povećana su sredstava </w:t>
            </w:r>
            <w:r w:rsidR="00355830"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zbog dodatnih sredstava koja su potrebna za povezivanje Grada s javnim registrima, posebno s registrom MUP-a, kao i za uvođenje digitalizacije poslovanja, kod čega smo minimalizirali troškove uključujući se u projekt ministarstva pri čemu ćemo dobiti nenaplatno kartice za digitalne potpise i certifikate. Isto će biti uvedeno do kraja 2022. godine te će se odraziti na 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troškove </w:t>
            </w:r>
            <w:r w:rsidR="00355830" w:rsidRPr="00355830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održavanj</w:t>
            </w:r>
            <w:r w:rsidR="00111B3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a</w:t>
            </w:r>
            <w:r w:rsidR="00355830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. </w:t>
            </w:r>
            <w:r w:rsidR="00355830" w:rsidRPr="008C3F5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Noviji zahtjevi digitalizacije utječu na povećanje ovih rashoda, no nasuprot tome smanjuju se najčešće rashodi poštarine, utroška papira, tonera i slično</w:t>
            </w:r>
            <w:r w:rsidR="008C3F5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, što ipak nije </w:t>
            </w:r>
            <w:r w:rsidR="004A703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direktno</w:t>
            </w:r>
            <w:r w:rsidR="008C3F5E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 uočljivo zbog povećanja cijena </w:t>
            </w:r>
            <w:r w:rsidR="004A7034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materijala i usluga u uvjetima inflacije.</w:t>
            </w:r>
          </w:p>
          <w:p w14:paraId="75A32A8F" w14:textId="5F810F08" w:rsidR="00355830" w:rsidRPr="00F62E12" w:rsidRDefault="00355830" w:rsidP="00753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83F1B" w:rsidRPr="00F72F50" w14:paraId="2864B37C" w14:textId="77777777" w:rsidTr="002C5784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B3C8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663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277"/>
              <w:gridCol w:w="1134"/>
              <w:gridCol w:w="992"/>
              <w:gridCol w:w="851"/>
              <w:gridCol w:w="1134"/>
              <w:gridCol w:w="1134"/>
              <w:gridCol w:w="992"/>
            </w:tblGrid>
            <w:tr w:rsidR="00783F1B" w:rsidRPr="001E63BA" w14:paraId="164AD328" w14:textId="77777777" w:rsidTr="00281FED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D48CC3C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CCFE5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EABDDF1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26E3F30" w14:textId="47C63614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Polazna vrijednost 20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7B101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E245124" w14:textId="44FA134F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2499A4E" w14:textId="10D32F3E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CB1A670" w14:textId="66078142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783F1B" w:rsidRPr="001E63BA" w14:paraId="5F483E1F" w14:textId="77777777" w:rsidTr="00281FED">
              <w:trPr>
                <w:trHeight w:val="69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936F69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2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25ECBA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F796C0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5F3544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8B52A8" w14:textId="77777777" w:rsidR="00783F1B" w:rsidRPr="001E63BA" w:rsidRDefault="00783F1B" w:rsidP="0075331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EEF8E2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CEC7B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CFF073" w14:textId="77777777" w:rsidR="00783F1B" w:rsidRPr="001E63BA" w:rsidRDefault="00783F1B" w:rsidP="00753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63BA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71841D00" w14:textId="77777777" w:rsidR="00783F1B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597EDC" w14:textId="77777777" w:rsidR="00783F1B" w:rsidRPr="00C246B5" w:rsidRDefault="00783F1B" w:rsidP="007533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A4675BD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C1F9765" w14:textId="77777777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FFDF53" w14:textId="48F6A00F" w:rsidR="00783F1B" w:rsidRDefault="00783F1B" w:rsidP="00783F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B6A2E36" w14:textId="337BD683" w:rsidR="00215244" w:rsidRDefault="00215244" w:rsidP="00933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250EA64A" w14:textId="77777777" w:rsidTr="00005480">
        <w:trPr>
          <w:trHeight w:val="26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1D107E" w14:textId="3E4179A3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4902 Program gospodarstva i turizma</w:t>
            </w:r>
          </w:p>
        </w:tc>
      </w:tr>
      <w:tr w:rsidR="00005480" w:rsidRPr="00005480" w14:paraId="5F558FBE" w14:textId="77777777" w:rsidTr="00005480">
        <w:trPr>
          <w:trHeight w:val="57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29BE" w14:textId="7777777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A737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62413AB5" w14:textId="3B5B4EE5" w:rsidR="001D1669" w:rsidRPr="00A737CF" w:rsidRDefault="00933E94" w:rsidP="00AE4A28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>Uspješno gospodarstvo je preduvjet razvoja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rasta</w:t>
            </w:r>
            <w:r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očuvanja radnih mjesta te po mogućnosti ulaganja u nova.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Kako bismo u tome pomogli gospodarstvenicima  pružamo </w:t>
            </w:r>
            <w:r w:rsidR="00315234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im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potporu  putem  Odsjeka za gospodarstvo, turizam i projekte ali i </w:t>
            </w:r>
            <w:r w:rsidR="00477417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putem </w:t>
            </w:r>
            <w:r w:rsidR="001D1669" w:rsidRPr="00A737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potpornih institucija. </w:t>
            </w:r>
          </w:p>
          <w:p w14:paraId="40643517" w14:textId="074C95D7" w:rsidR="00933E94" w:rsidRPr="00A737CF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5480" w:rsidRPr="00005480" w14:paraId="3180B48C" w14:textId="77777777" w:rsidTr="00005480">
        <w:trPr>
          <w:trHeight w:val="58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3242C6" w14:textId="53BC66D7" w:rsidR="009A4FDF" w:rsidRPr="00A737CF" w:rsidRDefault="00E01555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2023.-20</w:t>
            </w:r>
            <w:r w:rsidR="00111B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25.</w:t>
            </w:r>
          </w:p>
          <w:p w14:paraId="50E6636A" w14:textId="67385E33" w:rsidR="00933E94" w:rsidRPr="00A737CF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A737CF">
              <w:rPr>
                <w:rFonts w:cstheme="minorHAnsi"/>
                <w:sz w:val="18"/>
                <w:szCs w:val="18"/>
              </w:rPr>
              <w:t xml:space="preserve">Cilj 1:  </w:t>
            </w:r>
            <w:r w:rsidR="001E63BA" w:rsidRPr="00A737CF">
              <w:rPr>
                <w:rFonts w:cstheme="minorHAnsi"/>
                <w:sz w:val="18"/>
                <w:szCs w:val="18"/>
              </w:rPr>
              <w:t>Cilj  programa je olakšati poslovanje poduzetnicima, potaknuti ih na uspješnije poslovanje, pomoći u rješavanju njihovih problema,  produžiti turističku sezonu, stvoriti preduvjete za uspješnije poslovanje poduzetnika na području i s područja Grada Crikvenice</w:t>
            </w:r>
            <w:r w:rsidR="00477417" w:rsidRPr="00A737CF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19B2CF0" w14:textId="77777777" w:rsidR="00933E94" w:rsidRPr="00005480" w:rsidRDefault="00933E94" w:rsidP="00933E9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005480" w:rsidRPr="00005480" w14:paraId="39BA0304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8EB2" w14:textId="77777777" w:rsidR="000D0C93" w:rsidRPr="002C1F47" w:rsidRDefault="00933E94" w:rsidP="000D0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F47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738" w:type="dxa"/>
              <w:tblInd w:w="23" w:type="dxa"/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1134"/>
              <w:gridCol w:w="1276"/>
              <w:gridCol w:w="1134"/>
              <w:gridCol w:w="1134"/>
              <w:gridCol w:w="1154"/>
              <w:gridCol w:w="787"/>
            </w:tblGrid>
            <w:tr w:rsidR="002C1F47" w:rsidRPr="002C1F47" w14:paraId="055E3157" w14:textId="77777777" w:rsidTr="00CF789D">
              <w:trPr>
                <w:trHeight w:val="450"/>
              </w:trPr>
              <w:tc>
                <w:tcPr>
                  <w:tcW w:w="41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6B9D2B5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1D50CE6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55C8E4D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ACBE308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AD1998E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FC826D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78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3245F05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2C1F47" w:rsidRPr="002C1F47" w14:paraId="48F84A48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9978703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5233E9B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42582D9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E197DB3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F7FEB7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EF37F49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E66CDF6" w14:textId="77777777" w:rsidR="000D0C93" w:rsidRPr="002C1F47" w:rsidRDefault="000D0C93" w:rsidP="000D0C9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2C1F47" w:rsidRPr="002C1F47" w14:paraId="625F6223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685FE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PROGRAM 4902 Program gospodarstva i turizma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48F594F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173.530,41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A62053D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200.937,01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FD153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201.250,00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5BE20AA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200.700,00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9F7E67C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200.150,00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51FCE4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100,16</w:t>
                  </w:r>
                </w:p>
              </w:tc>
            </w:tr>
            <w:tr w:rsidR="002C1F47" w:rsidRPr="002C1F47" w14:paraId="4DF01E70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44B21C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Aktivnost A490201 SUFINANCIRANJE RADA PODUZETNIČKOG CENTRA "VINODOL"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718408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23.890,10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E31906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26.008,36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243D58B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23.900,00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F641195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23.900,00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036408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23.900,00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6217E1F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91,89</w:t>
                  </w:r>
                </w:p>
              </w:tc>
            </w:tr>
            <w:tr w:rsidR="002C1F47" w:rsidRPr="002C1F47" w14:paraId="3D3EFA19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C8ADA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Aktivnost A490202 SUBVENCIJA KAMATA NA PODUZETNIČKE KREDITE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F790B5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21.491,51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8773C7C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20.572,03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1581486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19.600,00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182A5B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19.050,00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1D9817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18.500,00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F605237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95,27</w:t>
                  </w:r>
                </w:p>
              </w:tc>
            </w:tr>
            <w:tr w:rsidR="002C1F47" w:rsidRPr="002C1F47" w14:paraId="46B4CFFE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D5D0F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Aktivnost A490203 SUFINANCIRANJE DOLASKA AVIO PRIJEVOZNIKA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FB7E954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4.778,02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7F3666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56BCB3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91EA1B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ECEE7CD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29F5CB8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150,69</w:t>
                  </w:r>
                </w:p>
              </w:tc>
            </w:tr>
            <w:tr w:rsidR="002C1F47" w:rsidRPr="002C1F47" w14:paraId="54E665B7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C1240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lastRenderedPageBreak/>
                    <w:t>Aktivnost A490204 SUBVENCIJE PODUZETNICIMA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74E5F5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114.061,69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A6D77F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133.917,31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A607C3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134.000,00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84C1DF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134.000,00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0E4F91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134.000,00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10F596C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100,06</w:t>
                  </w:r>
                </w:p>
              </w:tc>
            </w:tr>
            <w:tr w:rsidR="002C1F47" w:rsidRPr="002C1F47" w14:paraId="68EA85C0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90363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Aktivnost A490205 SUFINANCIRANJE RADA LAG "VINODOL", LAGUR "TUNERA"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63A1A5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3.748,92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63CDEA8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3.848,96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83690D9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3.850,00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05FA90D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3.850,00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E537DB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3.850,00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49CA81E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100,03</w:t>
                  </w:r>
                </w:p>
              </w:tc>
            </w:tr>
            <w:tr w:rsidR="002C1F47" w:rsidRPr="002C1F47" w14:paraId="3655D39E" w14:textId="77777777" w:rsidTr="00CF789D">
              <w:trPr>
                <w:trHeight w:val="315"/>
              </w:trPr>
              <w:tc>
                <w:tcPr>
                  <w:tcW w:w="41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A0473" w14:textId="77777777" w:rsidR="000D0C93" w:rsidRPr="002C1F47" w:rsidRDefault="000D0C93" w:rsidP="000D0C9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Aktivnost A490206 INFORMIRANJE, POTICANJE,  EDUKACIJA  I PREZENTACIJA PODUZETNISTVA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296041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5.560,17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35E8B75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9.954,21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D18EC49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02D6BD6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8EB6E0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9.900,00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0A89D1" w14:textId="77777777" w:rsidR="000D0C93" w:rsidRPr="002C1F47" w:rsidRDefault="000D0C93" w:rsidP="000D0C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99,46</w:t>
                  </w:r>
                </w:p>
              </w:tc>
            </w:tr>
          </w:tbl>
          <w:p w14:paraId="5EEC03CA" w14:textId="77777777" w:rsidR="000D0C93" w:rsidRPr="002C1F47" w:rsidRDefault="000D0C93" w:rsidP="000D0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48AB4" w14:textId="6E7A250B" w:rsidR="00933E94" w:rsidRPr="002C1F47" w:rsidRDefault="00933E94" w:rsidP="000D0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 Aktivnost A490201 SUFINANCIRANJE RADA PODUZETNIČKOG CENTRA "VINODOL</w:t>
            </w:r>
          </w:p>
        </w:tc>
      </w:tr>
      <w:tr w:rsidR="00005480" w:rsidRPr="00005480" w14:paraId="00DFC311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9250" w14:textId="77777777" w:rsidR="00933E94" w:rsidRPr="002C1F47" w:rsidRDefault="00933E94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Zakonske i druge pravne osnove aktivnosti</w:t>
            </w:r>
          </w:p>
          <w:p w14:paraId="5383C314" w14:textId="3C96F553" w:rsidR="00933E94" w:rsidRPr="002C1F47" w:rsidRDefault="00933E94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Društveni ugovor</w:t>
            </w:r>
          </w:p>
        </w:tc>
      </w:tr>
      <w:tr w:rsidR="00005480" w:rsidRPr="00005480" w14:paraId="48CD12EE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0CC3" w14:textId="77777777" w:rsidR="00933E94" w:rsidRPr="002C1F47" w:rsidRDefault="00933E94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135676A" w14:textId="1E29BF85" w:rsidR="001D1669" w:rsidRPr="002C1F47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 ovom se programu sufinancira rad Poduzetničkog centra Vinodol čiji su osnivači Grad Crikvenica, Grad Novi Vinodolski i Općina Vinodolska</w:t>
            </w:r>
            <w:r w:rsidR="00477417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, </w:t>
            </w:r>
            <w:r w:rsidR="001D1669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477417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a </w:t>
            </w:r>
            <w:r w:rsidR="001D1669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koji je potporna institucija poduzetnicima</w:t>
            </w:r>
            <w:r w:rsidR="00477417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Poduzetnički centar pruža</w:t>
            </w:r>
            <w:r w:rsidR="001D1669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podršku </w:t>
            </w:r>
            <w:r w:rsidR="00477417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poduzetnicima u</w:t>
            </w:r>
            <w:r w:rsidR="001D1669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informiranju i prijavi projekata poduzetnika</w:t>
            </w:r>
            <w:r w:rsidR="00097BE5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i </w:t>
            </w:r>
            <w:r w:rsidR="00DC3068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sl</w:t>
            </w:r>
            <w:r w:rsidR="001D1669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  <w:r w:rsidR="003265B6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005480" w:rsidRPr="00005480" w14:paraId="44EDC85D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063E" w14:textId="77777777" w:rsidR="00933E94" w:rsidRPr="002C1F47" w:rsidRDefault="00933E94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3BC9BAF2" w14:textId="46555BE1" w:rsidR="00DC7828" w:rsidRPr="002C1F47" w:rsidRDefault="00933E94" w:rsidP="004A703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Cs/>
                <w:sz w:val="18"/>
                <w:szCs w:val="18"/>
              </w:rPr>
              <w:t xml:space="preserve">U odnosu na prošlogodišnje projekcije </w:t>
            </w:r>
            <w:r w:rsidR="004A7034" w:rsidRPr="002C1F47">
              <w:rPr>
                <w:rFonts w:ascii="Calibri" w:hAnsi="Calibri" w:cs="Calibri"/>
                <w:bCs/>
                <w:sz w:val="18"/>
                <w:szCs w:val="18"/>
              </w:rPr>
              <w:t>odstupanja su kod subvencija kamata na poduzetničke kredite koji se otplaćuju iz godine u godinu te se iznos kamate smanjuje</w:t>
            </w:r>
            <w:r w:rsidR="00C303FA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4A7034" w:rsidRPr="002C1F47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="00C303FA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4A7034" w:rsidRPr="002C1F47">
              <w:rPr>
                <w:rFonts w:ascii="Calibri" w:hAnsi="Calibri" w:cs="Calibri"/>
                <w:bCs/>
                <w:sz w:val="18"/>
                <w:szCs w:val="18"/>
              </w:rPr>
              <w:t xml:space="preserve"> povećan je plan rashoda kod sufinanciranja dolaska avio prijevoznika.</w:t>
            </w:r>
            <w:r w:rsidR="005856F9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</w:p>
          <w:p w14:paraId="608AB926" w14:textId="77777777" w:rsidR="00933E94" w:rsidRPr="002C1F47" w:rsidRDefault="00933E94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05480" w:rsidRPr="00005480" w14:paraId="5F63F0BC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7816" w14:textId="77777777" w:rsidR="00662563" w:rsidRPr="002C1F47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564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701"/>
              <w:gridCol w:w="993"/>
              <w:gridCol w:w="991"/>
              <w:gridCol w:w="1360"/>
              <w:gridCol w:w="1050"/>
              <w:gridCol w:w="1360"/>
              <w:gridCol w:w="960"/>
            </w:tblGrid>
            <w:tr w:rsidR="002C1F47" w:rsidRPr="002C1F47" w14:paraId="3BA6E590" w14:textId="77777777" w:rsidTr="00DC3068">
              <w:trPr>
                <w:trHeight w:val="270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9E36A0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A28571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1E640C7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94FEE87" w14:textId="391277E0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A7EA1E3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7154A12" w14:textId="3D81CA13" w:rsidR="00662563" w:rsidRPr="002C1F47" w:rsidRDefault="00662563" w:rsidP="00281FE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6C76EC0" w14:textId="1716316A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BF0B043" w14:textId="45B37F0E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5A3A8D6E" w14:textId="77777777" w:rsidTr="00DC3068">
              <w:trPr>
                <w:trHeight w:val="94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C19C62" w14:textId="0DA68510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korisnika koji su koristili savjetovanje i poslovnu podršku Poduzetničkog centra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99119F" w14:textId="484B6D5C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sastanaka s poduzetnicima pokazuje aktivnost poduzetničkog centra u radu s poduzetnicima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45FF8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korisnika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6937DC" w14:textId="6351375D" w:rsidR="00662563" w:rsidRPr="002C1F47" w:rsidRDefault="00446044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90CDE3" w14:textId="77777777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Poduzetnički centar Vinodol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374492" w14:textId="1A64CFB0" w:rsidR="00662563" w:rsidRPr="002C1F47" w:rsidRDefault="00281FED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54E7D57" w14:textId="3C13FE74" w:rsidR="00662563" w:rsidRPr="002C1F47" w:rsidRDefault="00281FED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2B4674" w14:textId="14E5A919" w:rsidR="00662563" w:rsidRPr="002C1F47" w:rsidRDefault="00137586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</w:tr>
          </w:tbl>
          <w:p w14:paraId="0D6B107B" w14:textId="29AC597C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  <w:tr w:rsidR="00005480" w:rsidRPr="00005480" w14:paraId="524D1415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C50E" w14:textId="661573D1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009044C" w14:textId="54F6BC9D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8AEA72F" w14:textId="7F5068DF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AD4390F" w14:textId="4A9DCCA4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2C08167" w14:textId="77777777" w:rsidR="00281FED" w:rsidRPr="00025DF3" w:rsidRDefault="00281FED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A296D25" w14:textId="29B75CBE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A490202 SUBVENCIJA KAMATA NA PODUZETNIČKE KREDITE</w:t>
            </w:r>
          </w:p>
        </w:tc>
      </w:tr>
      <w:tr w:rsidR="00005480" w:rsidRPr="00005480" w14:paraId="4D6D9E0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5C31" w14:textId="77777777" w:rsidR="001D1669" w:rsidRPr="00025DF3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45C5B997" w14:textId="517C766D" w:rsidR="001D1669" w:rsidRPr="00025DF3" w:rsidRDefault="001D1669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 xml:space="preserve">Sklopljeni ugovori u sufinanciranju </w:t>
            </w:r>
            <w:r w:rsidR="00137586" w:rsidRPr="00025DF3">
              <w:rPr>
                <w:rFonts w:ascii="Calibri" w:hAnsi="Calibri" w:cs="Calibri"/>
                <w:bCs/>
                <w:sz w:val="18"/>
                <w:szCs w:val="18"/>
              </w:rPr>
              <w:t>kamate na poduzetničke kredite</w:t>
            </w:r>
          </w:p>
        </w:tc>
      </w:tr>
      <w:tr w:rsidR="00005480" w:rsidRPr="00005480" w14:paraId="27F0CA3A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AFDC" w14:textId="77777777" w:rsidR="001D1669" w:rsidRPr="00025DF3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28E4B70" w14:textId="453F0EC6" w:rsidR="001D1669" w:rsidRPr="00025DF3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Sufinancira se kamata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na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poduzetničke kredite </w:t>
            </w:r>
            <w:r w:rsidR="00133146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po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ranije 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sklopljen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m ugovor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ima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s Erste bankom i Zagrebačkom bankom. Ugovori su sklopljeni </w:t>
            </w:r>
            <w:r w:rsidR="00B650B7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2015.godine  s ukupnim kreditnim potencijalom od 10.000.000 kuna. </w:t>
            </w:r>
            <w:r w:rsidR="00D4466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Nisu iskorištena sva sredstva, ali je zbog izmijenjenih uvjeta na financijskom tržištu, program zaključen.</w:t>
            </w:r>
          </w:p>
        </w:tc>
      </w:tr>
      <w:tr w:rsidR="00005480" w:rsidRPr="00005480" w14:paraId="1E68B223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DD6F" w14:textId="77777777" w:rsidR="001D1669" w:rsidRPr="00025DF3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795DCC04" w14:textId="33132B34" w:rsidR="002F2DA9" w:rsidRPr="00025DF3" w:rsidRDefault="004A7034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>U odnosu na prošlogodišnje projekcije smanjeni su rashodi kod subvencija kamata na poduzetničke kredite. Poduzetnički krediti otplaćuju  se iz godine u godinu te se iznos kamate smanjuje.</w:t>
            </w:r>
          </w:p>
        </w:tc>
      </w:tr>
      <w:tr w:rsidR="00005480" w:rsidRPr="00005480" w14:paraId="6E411861" w14:textId="77777777" w:rsidTr="00005480">
        <w:trPr>
          <w:trHeight w:val="30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C69F" w14:textId="77777777" w:rsidR="00662563" w:rsidRPr="00025DF3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422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843"/>
              <w:gridCol w:w="1134"/>
              <w:gridCol w:w="993"/>
              <w:gridCol w:w="1275"/>
              <w:gridCol w:w="992"/>
              <w:gridCol w:w="1360"/>
              <w:gridCol w:w="960"/>
            </w:tblGrid>
            <w:tr w:rsidR="00025DF3" w:rsidRPr="00025DF3" w14:paraId="41169FA0" w14:textId="77777777" w:rsidTr="00AE4A28">
              <w:trPr>
                <w:trHeight w:val="27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CCBD50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2B7B6FF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F4257C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D4EDF83" w14:textId="3009A90E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22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E179C8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609DBA7" w14:textId="13AF0145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3C6206" w14:textId="46B37F10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E89372E" w14:textId="7B70B5B3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025DF3" w14:paraId="0BC02167" w14:textId="77777777" w:rsidTr="00137586">
              <w:trPr>
                <w:trHeight w:val="465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F694A5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Iskorištenost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sredstava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u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kreditnoj</w:t>
                  </w:r>
                  <w:proofErr w:type="spellEnd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 xml:space="preserve"> </w:t>
                  </w:r>
                  <w:proofErr w:type="spellStart"/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val="en-US" w:eastAsia="hr-HR"/>
                    </w:rPr>
                    <w:t>liniji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B13769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Kreditna linija otvorena je do iskorištenja sredstava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A79D32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%iskorištenih kreditnih sredstava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467024" w14:textId="77777777" w:rsidR="00B650B7" w:rsidRPr="00025DF3" w:rsidRDefault="00B650B7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97%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48DAFC" w14:textId="568DE657" w:rsidR="00B650B7" w:rsidRPr="00025DF3" w:rsidRDefault="00B650B7" w:rsidP="00B650B7">
                  <w:pPr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hAnsi="Calibri" w:cs="Calibri"/>
                      <w:sz w:val="16"/>
                      <w:szCs w:val="16"/>
                    </w:rPr>
                    <w:t xml:space="preserve">Odsjeka za gospodarstvo, turizam i projekte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05E171" w14:textId="3437829D" w:rsidR="00B650B7" w:rsidRPr="00025DF3" w:rsidRDefault="00907AF3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A69B79" w14:textId="6B7B2212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4A72841" w14:textId="6DD6FF54" w:rsidR="00B650B7" w:rsidRPr="00025DF3" w:rsidRDefault="00137586" w:rsidP="00B650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-</w:t>
                  </w:r>
                </w:p>
              </w:tc>
            </w:tr>
          </w:tbl>
          <w:p w14:paraId="555663D7" w14:textId="7AE8CBC4" w:rsidR="00B650B7" w:rsidRPr="00025DF3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186A5C8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30054E0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4707ED2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4DCF0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15C8FDD" w14:textId="2BD84C3D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A490203 SUFINANCIRANJE DOLASKA AVIO PRIJEVOZNIKA</w:t>
            </w:r>
          </w:p>
        </w:tc>
      </w:tr>
      <w:tr w:rsidR="00005480" w:rsidRPr="00005480" w14:paraId="12B3C248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50C2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D80D68D" w14:textId="616395A6" w:rsidR="001D1669" w:rsidRPr="00A737CF" w:rsidRDefault="001D1669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Sklopljeni godišnji Ugovori između T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>Z</w:t>
            </w: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Kvarnera, Primorsko-goranske županije i Grada Crikvenice</w:t>
            </w:r>
          </w:p>
        </w:tc>
      </w:tr>
      <w:tr w:rsidR="00005480" w:rsidRPr="00005480" w14:paraId="7A1EE1D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FC95" w14:textId="77777777" w:rsidR="001D1669" w:rsidRPr="00A737CF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13568AFE" w14:textId="0DE626BF" w:rsidR="001D1669" w:rsidRPr="00A737CF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A737CF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Planirana su sredstva za sufinanciranje dolaska avioprijevoznika u Zračnu luku Rijeka, planiramo udružiti sredstva za udruženo oglašavanje koje bi trebalo rezultirati  povećanjem prometa putnika u Zračnoj luci Rijeka čiji smo jedan od  suvlasnika.</w:t>
            </w:r>
          </w:p>
        </w:tc>
      </w:tr>
      <w:tr w:rsidR="00005480" w:rsidRPr="00005480" w14:paraId="0E0B2D8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4F26" w14:textId="77777777" w:rsidR="001D1669" w:rsidRPr="00A737CF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737CF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757A378C" w14:textId="0BBEE919" w:rsidR="001D1669" w:rsidRPr="00A737CF" w:rsidRDefault="001D1669" w:rsidP="00C303FA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U odnosu na prošlogodišnje projekcije </w:t>
            </w:r>
            <w:r w:rsidR="004A7034" w:rsidRPr="00A737CF">
              <w:rPr>
                <w:rFonts w:ascii="Calibri" w:hAnsi="Calibri" w:cs="Calibri"/>
                <w:bCs/>
                <w:sz w:val="18"/>
                <w:szCs w:val="18"/>
              </w:rPr>
              <w:t>povećana su sredstva iako su ona i dalje ispod razine od 20.000 EUR koliko se predlaže da se sredstva udruže, no smatramo i ovo značajnim sredstvima koja su planirana sukladno mogućn</w:t>
            </w:r>
            <w:r w:rsidR="00E01555" w:rsidRPr="00A737CF">
              <w:rPr>
                <w:rFonts w:ascii="Calibri" w:hAnsi="Calibri" w:cs="Calibri"/>
                <w:bCs/>
                <w:sz w:val="18"/>
                <w:szCs w:val="18"/>
              </w:rPr>
              <w:t>os</w:t>
            </w:r>
            <w:r w:rsidR="004A7034" w:rsidRPr="00A737CF">
              <w:rPr>
                <w:rFonts w:ascii="Calibri" w:hAnsi="Calibri" w:cs="Calibri"/>
                <w:bCs/>
                <w:sz w:val="18"/>
                <w:szCs w:val="18"/>
              </w:rPr>
              <w:t>tima proračuna</w:t>
            </w:r>
            <w:r w:rsidR="002F2DA9" w:rsidRPr="00A737CF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4BA82E75" w14:textId="079836C7" w:rsidR="002F2DA9" w:rsidRPr="00A737CF" w:rsidRDefault="002F2DA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05480" w:rsidRPr="00005480" w14:paraId="0D39AA2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8D75" w14:textId="77777777" w:rsidR="001E63BA" w:rsidRPr="00A737CF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A737CF">
              <w:rPr>
                <w:rFonts w:ascii="Calibri" w:hAnsi="Calibri" w:cs="Calibri"/>
                <w:b/>
                <w:sz w:val="18"/>
                <w:szCs w:val="18"/>
              </w:rPr>
              <w:t>Pokazatelj uspješnosti</w:t>
            </w:r>
          </w:p>
          <w:p w14:paraId="55392B29" w14:textId="2CCCE05E" w:rsidR="00B650B7" w:rsidRPr="00A737CF" w:rsidRDefault="00B650B7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Ovo je aktivnost sufinanciranja i postignuti rezultat nije nužno direktno zavisan od sredstava koja se ulažu u ovu namjenu, s obzirom da na dolaske avionom utječe čitav niz faktora od sigurnosti, turističke prezentacije odredišta i sl.</w:t>
            </w:r>
            <w:r w:rsidR="00133146" w:rsidRPr="00A737CF">
              <w:rPr>
                <w:rFonts w:ascii="Calibri" w:hAnsi="Calibri" w:cs="Calibri"/>
                <w:bCs/>
                <w:sz w:val="18"/>
                <w:szCs w:val="18"/>
              </w:rPr>
              <w:t>, ali je svakako zajednički cilj povećati broj avio</w:t>
            </w:r>
            <w:r w:rsidR="00B65653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133146" w:rsidRPr="00A737CF">
              <w:rPr>
                <w:rFonts w:ascii="Calibri" w:hAnsi="Calibri" w:cs="Calibri"/>
                <w:bCs/>
                <w:sz w:val="18"/>
                <w:szCs w:val="18"/>
              </w:rPr>
              <w:t>dolazaka U Zračnu luku Rijeka što pozitivno utječe na rast dolazaka gostiju i na našu destinaciju.</w:t>
            </w:r>
          </w:p>
        </w:tc>
      </w:tr>
    </w:tbl>
    <w:p w14:paraId="5DDF350A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D8C1653" w14:textId="32415601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8D34EA" w14:textId="77777777" w:rsidR="00DC7828" w:rsidRPr="00005480" w:rsidRDefault="00DC7828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2527A27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383A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2B48DBDE" w14:textId="2CF001E5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A490204 SUBVENCIJE PODUZETNICIMA</w:t>
            </w:r>
          </w:p>
        </w:tc>
      </w:tr>
      <w:tr w:rsidR="00005480" w:rsidRPr="00005480" w14:paraId="04B2396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D917" w14:textId="77777777" w:rsidR="001D1669" w:rsidRPr="00A737CF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737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5BE53F17" w14:textId="3733B29A" w:rsidR="001D1669" w:rsidRPr="00A737CF" w:rsidRDefault="0013758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Program m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jer</w:t>
            </w:r>
            <w:r w:rsidRPr="00A737CF">
              <w:rPr>
                <w:rFonts w:ascii="Calibri" w:hAnsi="Calibri" w:cs="Calibri"/>
                <w:bCs/>
                <w:sz w:val="18"/>
                <w:szCs w:val="18"/>
              </w:rPr>
              <w:t>a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 xml:space="preserve">za poticanje </w:t>
            </w:r>
            <w:r w:rsidR="001D1669" w:rsidRPr="00A737CF">
              <w:rPr>
                <w:rFonts w:ascii="Calibri" w:hAnsi="Calibri" w:cs="Calibri"/>
                <w:bCs/>
                <w:sz w:val="18"/>
                <w:szCs w:val="18"/>
              </w:rPr>
              <w:t>poduzetništva</w:t>
            </w:r>
            <w:r w:rsidR="00AE4A28" w:rsidRPr="00A737CF">
              <w:rPr>
                <w:rFonts w:ascii="Calibri" w:hAnsi="Calibri" w:cs="Calibri"/>
                <w:bCs/>
                <w:sz w:val="18"/>
                <w:szCs w:val="18"/>
              </w:rPr>
              <w:t>,  Zakon o državnim potporama</w:t>
            </w:r>
          </w:p>
        </w:tc>
      </w:tr>
      <w:tr w:rsidR="00005480" w:rsidRPr="00005480" w14:paraId="2147D328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C475" w14:textId="77777777" w:rsidR="002C1F47" w:rsidRPr="00133146" w:rsidRDefault="002C1F47" w:rsidP="002C1F47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1331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5849C643" w14:textId="048B2C6C" w:rsidR="001D1669" w:rsidRPr="00005480" w:rsidRDefault="002C1F47" w:rsidP="002C1F47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Radi poboljšanje konk</w:t>
            </w:r>
            <w:r w:rsidR="00C303FA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u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re</w:t>
            </w:r>
            <w:r w:rsidR="00E3710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n</w:t>
            </w:r>
            <w:r w:rsidRPr="00133146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tnosti i uspješnosti poduzetnika sa područja Grada Crikvenice, svake godine u suradnji sa poduzetnicima donosi se Program mjera za poticanje razvoja poduzetništva. Mjere se analiziraju na godišnjoj razini, prati se njihova učinkovitost i o istoj se izvještava javnost i poduzetnici puten web-a Grada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</w:p>
        </w:tc>
      </w:tr>
      <w:tr w:rsidR="00005480" w:rsidRPr="00005480" w14:paraId="27925923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5EB3" w14:textId="77777777" w:rsidR="001D1669" w:rsidRPr="002C1F47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5484E398" w14:textId="77777777" w:rsidR="001D1669" w:rsidRPr="002C1F47" w:rsidRDefault="00316782" w:rsidP="005856F9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2C1F47">
              <w:rPr>
                <w:rFonts w:ascii="Calibri" w:hAnsi="Calibri" w:cs="Calibri"/>
                <w:bCs/>
                <w:sz w:val="18"/>
                <w:szCs w:val="18"/>
              </w:rPr>
              <w:t xml:space="preserve">U odnosu na prošlogodišnje projekcije </w:t>
            </w:r>
            <w:r w:rsidR="002F2DA9" w:rsidRPr="002C1F47">
              <w:rPr>
                <w:rFonts w:ascii="Calibri" w:hAnsi="Calibri" w:cs="Calibri"/>
                <w:bCs/>
                <w:sz w:val="18"/>
                <w:szCs w:val="18"/>
              </w:rPr>
              <w:t>nema odstupanja</w:t>
            </w:r>
            <w:r w:rsidR="00DC3068" w:rsidRPr="002C1F4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  <w:r w:rsidR="004A7034" w:rsidRPr="002C1F47">
              <w:rPr>
                <w:rFonts w:ascii="Calibri" w:hAnsi="Calibri" w:cs="Calibri"/>
                <w:bCs/>
                <w:sz w:val="18"/>
                <w:szCs w:val="18"/>
              </w:rPr>
              <w:t xml:space="preserve"> U 2022. godini subvencije su dobili svi poduzetnici koji su se javili na javni poziv, s obzirom da su planirana sredstva bila dostatna. Iz tog razloga su ova sredstva planirana na istoj razini.</w:t>
            </w:r>
          </w:p>
          <w:p w14:paraId="4D49E992" w14:textId="75BFA75F" w:rsidR="004A7034" w:rsidRPr="00005480" w:rsidRDefault="004A7034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708A762E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987E" w14:textId="508918F1" w:rsidR="00B650B7" w:rsidRPr="002C1F47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1559"/>
              <w:gridCol w:w="1540"/>
              <w:gridCol w:w="1153"/>
              <w:gridCol w:w="1134"/>
              <w:gridCol w:w="993"/>
              <w:gridCol w:w="992"/>
              <w:gridCol w:w="960"/>
            </w:tblGrid>
            <w:tr w:rsidR="002C1F47" w:rsidRPr="002C1F47" w14:paraId="5726DCD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C07BBD4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FBD86E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EC8843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13424FF" w14:textId="24B533DF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87BF605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699FE2D" w14:textId="7A29539A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B8D9EA" w14:textId="2D857F9E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A8CD07C" w14:textId="6E71F4EE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7977E40E" w14:textId="77777777" w:rsidTr="00662563">
              <w:trPr>
                <w:trHeight w:val="20"/>
              </w:trPr>
              <w:tc>
                <w:tcPr>
                  <w:tcW w:w="18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C3526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Realizacija odobrenih projekata u odnosu na dodijeljena sredstva sukladno natječaju za mjere poduzetništva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C2091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Nakon potpisa Ugovora o sufinanciranju prati se realizacija odobrenih projekata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BA1F8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% realizacije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58B8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B7E36C" w14:textId="68B53818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9CA5D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92E978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37B8F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95%</w:t>
                  </w:r>
                </w:p>
              </w:tc>
            </w:tr>
          </w:tbl>
          <w:p w14:paraId="04B36085" w14:textId="4DE86AAD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3472580D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592C4EC" w14:textId="22731CD3" w:rsidR="001D1669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5257FDA" w14:textId="7AA6A6AF" w:rsidR="005856F9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6557544" w14:textId="7780AEE8" w:rsidR="005856F9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EC2E821" w14:textId="364FF88E" w:rsidR="005856F9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4FF2CC3" w14:textId="07E69282" w:rsidR="005856F9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38F4225" w14:textId="19E952C5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2719146D" w14:textId="083170AB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BBC0624" w14:textId="274491DC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9C654A" w14:textId="77777777" w:rsidR="00C303FA" w:rsidRDefault="00C303FA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C7534F0" w14:textId="77777777" w:rsidR="005856F9" w:rsidRPr="00005480" w:rsidRDefault="005856F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0F33B1BE" w14:textId="77777777" w:rsidR="001D1669" w:rsidRPr="00005480" w:rsidRDefault="001D1669" w:rsidP="001D166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577C1D6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83C4" w14:textId="77777777" w:rsidR="001D1669" w:rsidRPr="002C1F47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3F69C374" w14:textId="04DBA89E" w:rsidR="001D1669" w:rsidRPr="002C1F47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Šifra i naziv aktivnosti/projekta u Proračunu:    Aktivnost A490205 SUFINANCIRANJE RADA LAG "VINODOL", LAGUR "TUNERA"</w:t>
            </w:r>
          </w:p>
        </w:tc>
      </w:tr>
      <w:tr w:rsidR="00005480" w:rsidRPr="00005480" w14:paraId="2DBE3EB0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86E1" w14:textId="77777777" w:rsidR="001D1669" w:rsidRPr="002C1F47" w:rsidRDefault="001D1669" w:rsidP="001D166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lastRenderedPageBreak/>
              <w:t>Zakonske i druge pravne osnove aktivnosti</w:t>
            </w:r>
          </w:p>
          <w:p w14:paraId="10C341C1" w14:textId="238AB97A" w:rsidR="001D1669" w:rsidRPr="002C1F47" w:rsidRDefault="003265B6" w:rsidP="001D1669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C1F47">
              <w:rPr>
                <w:rFonts w:ascii="Calibri" w:hAnsi="Calibri" w:cs="Calibri"/>
                <w:bCs/>
                <w:sz w:val="18"/>
                <w:szCs w:val="18"/>
              </w:rPr>
              <w:t>Akti koji utvrđuju članstvo i LAG „Vinodol“ i Lagur „Tunera“ i odlukama o visini članarine</w:t>
            </w:r>
          </w:p>
        </w:tc>
      </w:tr>
      <w:tr w:rsidR="00005480" w:rsidRPr="00005480" w14:paraId="3B08284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BAE7" w14:textId="77777777" w:rsidR="001D1669" w:rsidRPr="002C1F47" w:rsidRDefault="001D1669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C1F4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A4A2F5E" w14:textId="6F40CCA7" w:rsidR="001D1669" w:rsidRPr="00005480" w:rsidRDefault="003265B6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  <w:r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ovoj aktivnosti osigurana su sredstva za potporne institucije LAG i LAGUR, koji u suradnji sa Odsjekom za gospodarstvo, turizam i projekte pružaju potporu poduzetnicima i pri pripremi projekata Grada Crikvenice te trgovačkih društava u vlasništvu Grada Crikvenice i proračunskih korisnika. Grad </w:t>
            </w:r>
            <w:r w:rsidR="00DC3068"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p</w:t>
            </w:r>
            <w:r w:rsidRPr="002C1F47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laća članarine sukladno odlukama Skupštine.</w:t>
            </w:r>
          </w:p>
        </w:tc>
      </w:tr>
      <w:tr w:rsidR="00005480" w:rsidRPr="00005480" w14:paraId="7CA5F784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F52E" w14:textId="77777777" w:rsidR="001D1669" w:rsidRPr="002C1F47" w:rsidRDefault="001D1669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00EB81F1" w14:textId="0FD889E5" w:rsidR="00AE4A28" w:rsidRPr="002C1F47" w:rsidRDefault="001D1669" w:rsidP="001D1669">
            <w:pPr>
              <w:spacing w:after="0" w:line="240" w:lineRule="auto"/>
              <w:ind w:firstLine="39"/>
              <w:rPr>
                <w:rFonts w:ascii="Calibri" w:hAnsi="Calibri" w:cs="Calibri"/>
                <w:bCs/>
                <w:sz w:val="18"/>
                <w:szCs w:val="18"/>
              </w:rPr>
            </w:pPr>
            <w:r w:rsidRPr="002C1F47">
              <w:rPr>
                <w:rFonts w:ascii="Calibri" w:hAnsi="Calibri" w:cs="Calibri"/>
                <w:bCs/>
                <w:sz w:val="18"/>
                <w:szCs w:val="18"/>
              </w:rPr>
              <w:t>U odnosu na prošlogodišnje projekcije nema odstupanja</w:t>
            </w:r>
            <w:r w:rsidR="002C1F47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4A10AC11" w14:textId="7AA75818" w:rsidR="00AE4A28" w:rsidRPr="00005480" w:rsidRDefault="00AE4A28" w:rsidP="001D1669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30EA7D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5A9D" w14:textId="77777777" w:rsidR="00662563" w:rsidRPr="002C1F47" w:rsidRDefault="00662563" w:rsidP="00662563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C1F47">
              <w:rPr>
                <w:rFonts w:ascii="Calibri" w:hAnsi="Calibri" w:cs="Calibri"/>
                <w:b/>
                <w:sz w:val="18"/>
                <w:szCs w:val="18"/>
              </w:rPr>
              <w:t>Pokazatelj rezultata</w:t>
            </w:r>
          </w:p>
          <w:tbl>
            <w:tblPr>
              <w:tblW w:w="10370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1842"/>
              <w:gridCol w:w="993"/>
              <w:gridCol w:w="1134"/>
              <w:gridCol w:w="992"/>
              <w:gridCol w:w="1134"/>
              <w:gridCol w:w="1134"/>
              <w:gridCol w:w="992"/>
            </w:tblGrid>
            <w:tr w:rsidR="002C1F47" w:rsidRPr="002C1F47" w14:paraId="697E8C1B" w14:textId="77777777" w:rsidTr="00662563">
              <w:trPr>
                <w:trHeight w:val="1215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4C18760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F73422B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BE52B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7785AA7" w14:textId="14D8991E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F3A6B2C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2E3ACB" w14:textId="6DDF479E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B926658" w14:textId="7E881622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6D2DB0" w14:textId="5B703680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2C1F47" w:rsidRPr="002C1F47" w14:paraId="20B6C046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D1D97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90E5D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 raspisuje natječaje za sufinanciranje programa poljoprivrednika, ruralno stanovništvo s sl.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CEAF70" w14:textId="0DDBB7EA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D5452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8B8B7" w14:textId="4B5C0D3D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A2FFAC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7565C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F8B7F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  <w:tr w:rsidR="002C1F47" w:rsidRPr="002C1F47" w14:paraId="05CDB5F0" w14:textId="77777777" w:rsidTr="00662563">
              <w:trPr>
                <w:trHeight w:val="915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FAF7BA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raspisanih natječaja LAGUR-a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FE5A2F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 raspisuje natječaje za sufinanciranje programa za ostvarenje ciljeva  lokalne strategija u ribarstvu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D69F15" w14:textId="65E49958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</w:t>
                  </w:r>
                  <w:r w:rsidR="00AE4A28"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s</w:t>
                  </w: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pisanih natječaja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A1B29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4CE2AF" w14:textId="7F486EF1" w:rsidR="00662563" w:rsidRPr="002C1F47" w:rsidRDefault="00662563" w:rsidP="00662563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LAGUR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A12446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F95CF5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700071" w14:textId="77777777" w:rsidR="00662563" w:rsidRPr="002C1F47" w:rsidRDefault="00662563" w:rsidP="006625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2C1F47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</w:tr>
          </w:tbl>
          <w:p w14:paraId="32709736" w14:textId="77777777" w:rsidR="00662563" w:rsidRPr="002C1F47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C0903FA" w14:textId="1EFA0032" w:rsidR="00662563" w:rsidRPr="00005480" w:rsidRDefault="00662563" w:rsidP="001D1669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052F9B10" w14:textId="5EF2FC28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56880E84" w14:textId="77777777" w:rsidR="00ED2846" w:rsidRPr="00AB4F3B" w:rsidRDefault="00ED284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005480" w:rsidRPr="00005480" w14:paraId="6F17E26A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6CCA" w14:textId="77777777" w:rsidR="003265B6" w:rsidRPr="00025DF3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AC628CC" w14:textId="5E918D3A" w:rsidR="003265B6" w:rsidRPr="00025DF3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   Aktivnost A490206 INFORMIRANJE, POTICANJE,  EDUKACIJA  I PREZENTACIJA PODUZETNISTVA</w:t>
            </w:r>
          </w:p>
        </w:tc>
      </w:tr>
      <w:tr w:rsidR="00005480" w:rsidRPr="00005480" w14:paraId="29C287E7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E137" w14:textId="77777777" w:rsidR="003265B6" w:rsidRPr="00025DF3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33ADB341" w14:textId="412B3D03" w:rsidR="003265B6" w:rsidRPr="00025DF3" w:rsidRDefault="003265B6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Ugovor o BFC cer</w:t>
            </w:r>
            <w:r w:rsidR="00AE4A28" w:rsidRPr="00025DF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</w:t>
            </w:r>
            <w:r w:rsidRPr="00025DF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ifikaciji</w:t>
            </w:r>
          </w:p>
        </w:tc>
      </w:tr>
      <w:tr w:rsidR="00005480" w:rsidRPr="00005480" w14:paraId="1A17A34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77BF" w14:textId="77777777" w:rsidR="003265B6" w:rsidRPr="00025DF3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25D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0AADBB81" w14:textId="436137FC" w:rsidR="003265B6" w:rsidRPr="00025DF3" w:rsidRDefault="003265B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U sklopu programa certificiranja Grada kao grada s povoljnim poslovnim okruženjem proveli smo projekt i dobili certifikat grada povoljne poduzetničke klime te </w:t>
            </w:r>
            <w:r w:rsidR="009E3429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ga obranili u postupku </w:t>
            </w:r>
            <w:r w:rsidR="00DC3068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recertifikacij</w:t>
            </w:r>
            <w:r w:rsidR="009E3429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e u kome smo visoko ocijenjeni.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 Također je u planu i u 20</w:t>
            </w:r>
            <w:r w:rsidR="00DC3068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2</w:t>
            </w:r>
            <w:r w:rsidR="00025DF3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3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 godini tiskanje vodiča za poduzetnike. U ovoj ak</w:t>
            </w:r>
            <w:r w:rsidR="00307812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t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ivnosti planiraju  se i sredstva za održavanje edukacija poduzetnika</w:t>
            </w:r>
            <w:r w:rsidR="00B0526B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i učenika</w:t>
            </w:r>
            <w:r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.</w:t>
            </w:r>
            <w:r w:rsidR="004B2530" w:rsidRPr="00025DF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</w:p>
          <w:p w14:paraId="25D29129" w14:textId="0C614556" w:rsidR="00894BE6" w:rsidRPr="00025DF3" w:rsidRDefault="00894BE6" w:rsidP="00894BE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</w:p>
        </w:tc>
      </w:tr>
      <w:tr w:rsidR="00005480" w:rsidRPr="00005480" w14:paraId="3E130F5C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4B96" w14:textId="77777777" w:rsidR="003265B6" w:rsidRPr="00025DF3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025DF3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1C6193D2" w14:textId="4292D479" w:rsidR="00894BE6" w:rsidRPr="00025DF3" w:rsidRDefault="004A7034" w:rsidP="004A7034">
            <w:pPr>
              <w:spacing w:after="0" w:line="240" w:lineRule="auto"/>
              <w:ind w:firstLine="39"/>
              <w:rPr>
                <w:rFonts w:ascii="Calibri" w:hAnsi="Calibri" w:cs="Calibri"/>
                <w:bCs/>
                <w:sz w:val="18"/>
                <w:szCs w:val="18"/>
              </w:rPr>
            </w:pPr>
            <w:r w:rsidRPr="00025DF3">
              <w:rPr>
                <w:rFonts w:ascii="Calibri" w:hAnsi="Calibri" w:cs="Calibri"/>
                <w:bCs/>
                <w:sz w:val="18"/>
                <w:szCs w:val="18"/>
              </w:rPr>
              <w:t>U odnosu na prošlogodišnje projekcije nema odstupanja</w:t>
            </w:r>
            <w:r w:rsidR="00894BE6" w:rsidRPr="00025DF3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6C6371D6" w14:textId="440C067C" w:rsidR="00894BE6" w:rsidRPr="00025DF3" w:rsidRDefault="00894BE6" w:rsidP="00894B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05480" w:rsidRPr="00005480" w14:paraId="2DA0503D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C813" w14:textId="754132C4" w:rsidR="00307812" w:rsidRPr="00025DF3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481" w:type="dxa"/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134"/>
              <w:gridCol w:w="992"/>
              <w:gridCol w:w="1277"/>
              <w:gridCol w:w="993"/>
              <w:gridCol w:w="850"/>
              <w:gridCol w:w="960"/>
            </w:tblGrid>
            <w:tr w:rsidR="00025DF3" w:rsidRPr="00025DF3" w14:paraId="3E9F1BF2" w14:textId="77777777" w:rsidTr="00281FED">
              <w:trPr>
                <w:trHeight w:val="300"/>
              </w:trPr>
              <w:tc>
                <w:tcPr>
                  <w:tcW w:w="22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F42FDA8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0A0B37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45D407B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87F8021" w14:textId="2757A193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4E635CD6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4ED587B" w14:textId="58E3816B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30683F40" w14:textId="4009640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A4F488D" w14:textId="51F84DD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25DF3" w:rsidRPr="00025DF3" w14:paraId="43EC92A2" w14:textId="77777777" w:rsidTr="00281FED">
              <w:trPr>
                <w:trHeight w:val="1140"/>
              </w:trPr>
              <w:tc>
                <w:tcPr>
                  <w:tcW w:w="22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FFDAC4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educiranih osoba putem putem edukativnih radionica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7898D4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Edukativne radionice dogovaraju po određenim temama  nakon prikupljenih podataka o temama koje zanimaju poduzetnike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8BA7CD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Broj radionica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B13273" w14:textId="32C221E9" w:rsidR="00307812" w:rsidRPr="00025DF3" w:rsidRDefault="00025DF3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E92A7D" w14:textId="77777777" w:rsidR="00307812" w:rsidRPr="00025DF3" w:rsidRDefault="00307812" w:rsidP="00307812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0FC68A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4080C2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989082" w14:textId="77777777" w:rsidR="00307812" w:rsidRPr="00025DF3" w:rsidRDefault="00307812" w:rsidP="0030781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025DF3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</w:tr>
          </w:tbl>
          <w:p w14:paraId="648A6DB9" w14:textId="7AC76FB7" w:rsidR="00307812" w:rsidRPr="00025DF3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5480" w:rsidRPr="00005480" w14:paraId="7396C9C5" w14:textId="77777777" w:rsidTr="00005480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C77D" w14:textId="77777777" w:rsidR="00307812" w:rsidRPr="00025DF3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0661DE17" w14:textId="4FFAFDBC" w:rsidR="00B0526B" w:rsidRPr="00005480" w:rsidRDefault="00B0526B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220F6A6" w14:textId="2CF2342E" w:rsidR="006A4A9A" w:rsidRPr="00005480" w:rsidRDefault="006A4A9A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05480" w:rsidRPr="00005480" w14:paraId="01D44472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1B0AC71" w14:textId="33FC7F59" w:rsidR="003265B6" w:rsidRPr="0089570F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895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4104   Kapitalni programi razvoja</w:t>
            </w:r>
          </w:p>
        </w:tc>
      </w:tr>
      <w:tr w:rsidR="00005480" w:rsidRPr="00005480" w14:paraId="5085B4EC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7147" w14:textId="77777777" w:rsidR="003265B6" w:rsidRPr="00EE46C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EE46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1946E9D8" w14:textId="7B0DA757" w:rsidR="003265B6" w:rsidRPr="00EE46CF" w:rsidRDefault="00063587" w:rsidP="00BF4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>Strateški dokumenti predstavljaju podlogu za donošenje kvalitetnih odluka i prioritizaciju projekata što  je  pretpostavka efikasnog korištenja svih lokalnih resursa, te porasta konkurentnosti lokaliteta u odnosu na okruženje. Drugim riječima, ukoliko se   razvoj Grada   i nadalje želi  temeljiti na kriterijima suvremenog razvoja, podlogu za to predstavlja</w:t>
            </w:r>
            <w:r w:rsidR="0089570F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>ju strateški dokumenti.</w:t>
            </w:r>
            <w:r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Strategija gospodarskog razvitka Grada Crikvenice kao strateški dokument kojim su definirane smjernice gospodarskog razvitka</w:t>
            </w:r>
            <w:r w:rsidR="001D3100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na snazi je do </w:t>
            </w:r>
            <w:r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2022. godine</w:t>
            </w:r>
            <w:r w:rsidR="0089570F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, a </w:t>
            </w:r>
            <w:r w:rsidR="001D3100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Gradsko vijeće Grada Crikvenice </w:t>
            </w:r>
            <w:r w:rsidR="00C303FA">
              <w:rPr>
                <w:rFonts w:eastAsia="Times New Roman" w:cstheme="minorHAnsi"/>
                <w:sz w:val="18"/>
                <w:szCs w:val="18"/>
                <w:lang w:eastAsia="hr-HR"/>
              </w:rPr>
              <w:t>d</w:t>
            </w:r>
            <w:r w:rsidR="001D3100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onijelo je 30. lipnja 2022. Odlukuo pokretanju postupka izrade Plana razvoja Grada Crikvenice 2023. -2030. godine, a čija izrada je predviđena do rujna 2023. godine i planirana proračunom. Izrađena je Evaluacija važeće Strategije razvoja, izrađena je Komunikacijska strategije za izradu i provedbu Plana razvoja Grada Crikvenice 2023.-2030. Gradonačelnik je donio Provedbeni program za mandatno razdoblje. </w:t>
            </w:r>
            <w:r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>Strateškim dokumentima usklađujemo strateške ciljeve sa realnim potrebama, integriramo planske i provedbene dokumente, financiramo potrebne kapitalne projekte i doprinosimo kvalitetnom i održivom razvoju Grada</w:t>
            </w:r>
            <w:r w:rsidR="0089570F" w:rsidRPr="00EE46CF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. </w:t>
            </w:r>
          </w:p>
        </w:tc>
      </w:tr>
      <w:tr w:rsidR="00005480" w:rsidRPr="00005480" w14:paraId="282068DB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86DC17" w14:textId="66D6FF9A" w:rsidR="009A4FDF" w:rsidRPr="00EE46CF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Ciljevi provedbe programa u razdoblju 2023.-20</w:t>
            </w:r>
            <w:r w:rsidR="00CF78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25.</w:t>
            </w:r>
          </w:p>
          <w:p w14:paraId="5E02AFD5" w14:textId="746E0D1D" w:rsidR="003265B6" w:rsidRPr="00EE46CF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EE46CF">
              <w:rPr>
                <w:rFonts w:cstheme="minorHAnsi"/>
                <w:sz w:val="18"/>
                <w:szCs w:val="18"/>
              </w:rPr>
              <w:t xml:space="preserve">Cilj 1:  </w:t>
            </w:r>
            <w:r w:rsidR="00EB7DD5" w:rsidRPr="00EE46CF">
              <w:rPr>
                <w:rFonts w:cstheme="minorHAnsi"/>
                <w:sz w:val="18"/>
                <w:szCs w:val="18"/>
              </w:rPr>
              <w:t xml:space="preserve">Osnovni je cilj  </w:t>
            </w:r>
            <w:r w:rsidR="00E07C49" w:rsidRPr="00EE46CF">
              <w:rPr>
                <w:rFonts w:cstheme="minorHAnsi"/>
                <w:sz w:val="18"/>
                <w:szCs w:val="18"/>
              </w:rPr>
              <w:t xml:space="preserve">planirati i provoditi </w:t>
            </w:r>
            <w:r w:rsidR="00EB7DD5" w:rsidRPr="00EE46CF">
              <w:rPr>
                <w:rFonts w:cstheme="minorHAnsi"/>
                <w:sz w:val="18"/>
                <w:szCs w:val="18"/>
              </w:rPr>
              <w:t xml:space="preserve"> projekte Grada Crikvenice sukladno strateškim dokumentima </w:t>
            </w:r>
            <w:r w:rsidR="00E07C49" w:rsidRPr="00EE46CF">
              <w:rPr>
                <w:rFonts w:cstheme="minorHAnsi"/>
                <w:sz w:val="18"/>
                <w:szCs w:val="18"/>
              </w:rPr>
              <w:t>i realnim potrebama</w:t>
            </w:r>
            <w:r w:rsidR="00EE46CF">
              <w:rPr>
                <w:rFonts w:cstheme="minorHAnsi"/>
                <w:sz w:val="18"/>
                <w:szCs w:val="18"/>
              </w:rPr>
              <w:t xml:space="preserve"> i mogućnostima</w:t>
            </w:r>
            <w:r w:rsidR="00E07C49" w:rsidRPr="00EE46CF">
              <w:rPr>
                <w:rFonts w:cstheme="minorHAnsi"/>
                <w:sz w:val="18"/>
                <w:szCs w:val="18"/>
              </w:rPr>
              <w:t>.</w:t>
            </w:r>
            <w:r w:rsidR="00EB7DD5" w:rsidRPr="00EE46CF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</w:tbl>
    <w:p w14:paraId="7E63514D" w14:textId="6D495147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30C00F33" w14:textId="77777777" w:rsidR="00195257" w:rsidRPr="00005480" w:rsidRDefault="00195257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005480" w:rsidRPr="00005480" w14:paraId="37EFD20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095B" w14:textId="77777777" w:rsidR="004A7034" w:rsidRPr="00EE46CF" w:rsidRDefault="003265B6" w:rsidP="004A70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6CF">
              <w:rPr>
                <w:rFonts w:ascii="Times New Roman" w:hAnsi="Times New Roman" w:cs="Times New Roman"/>
                <w:b/>
                <w:sz w:val="24"/>
                <w:szCs w:val="24"/>
              </w:rPr>
              <w:t>Procjena i ishodište potrebnih sredstava za aktivnosti/projekte unutar programa</w:t>
            </w:r>
          </w:p>
          <w:tbl>
            <w:tblPr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1134"/>
              <w:gridCol w:w="1134"/>
              <w:gridCol w:w="1134"/>
              <w:gridCol w:w="992"/>
              <w:gridCol w:w="1134"/>
              <w:gridCol w:w="992"/>
            </w:tblGrid>
            <w:tr w:rsidR="00EE46CF" w:rsidRPr="00EE46CF" w14:paraId="01002473" w14:textId="77777777" w:rsidTr="004A7034">
              <w:trPr>
                <w:trHeight w:val="450"/>
              </w:trPr>
              <w:tc>
                <w:tcPr>
                  <w:tcW w:w="3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45C14A4" w14:textId="77777777" w:rsidR="004A7034" w:rsidRPr="00EE46CF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B90C5CC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C01045E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E115B4C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AE84196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B28DC33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9948005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EE46CF" w:rsidRPr="00EE46CF" w14:paraId="740F188C" w14:textId="77777777" w:rsidTr="004A7034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D830114" w14:textId="77777777" w:rsidR="004A7034" w:rsidRPr="00EE46CF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5CD4A0A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F9E24B1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0F289F3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3A2D51D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8D6AF53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F10D6D8" w14:textId="77777777" w:rsidR="004A7034" w:rsidRPr="00EE46CF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EE46CF" w:rsidRPr="00EE46CF" w14:paraId="2CFCB07A" w14:textId="77777777" w:rsidTr="004A7034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2DAB46" w14:textId="77777777" w:rsidR="004A7034" w:rsidRPr="00EE46CF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 xml:space="preserve">PROGRAM 4104   Kapitalni programi razvoja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104C03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16.590,35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40CFAE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59.725,26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6C26B9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59.700,00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A1638E3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46.500,00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191205B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46.500,00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92FCE6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99,96</w:t>
                  </w:r>
                </w:p>
              </w:tc>
            </w:tr>
            <w:tr w:rsidR="00EE46CF" w:rsidRPr="00EE46CF" w14:paraId="45B88B5F" w14:textId="77777777" w:rsidTr="004A7034">
              <w:trPr>
                <w:trHeight w:val="315"/>
              </w:trPr>
              <w:tc>
                <w:tcPr>
                  <w:tcW w:w="3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AFAE4" w14:textId="77777777" w:rsidR="004A7034" w:rsidRPr="00EE46CF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hr-HR"/>
                    </w:rPr>
                    <w:t>Kapitalni projekt K410401 STRATEŠKI DOKUMENTI RAZVOJA  GRADA  CRIKVENICE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47F8B9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16.590,35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1DA50E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59.725,26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51C760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59.700,00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5A9E0C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46.500,00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6DEE15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46.500,00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534630" w14:textId="77777777" w:rsidR="004A7034" w:rsidRPr="00EE46CF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Arial" w:eastAsia="Times New Roman" w:hAnsi="Arial" w:cs="Arial"/>
                      <w:sz w:val="16"/>
                      <w:szCs w:val="16"/>
                      <w:lang w:eastAsia="hr-HR"/>
                    </w:rPr>
                    <w:t>99,96</w:t>
                  </w:r>
                </w:p>
              </w:tc>
            </w:tr>
          </w:tbl>
          <w:p w14:paraId="1A46C1AE" w14:textId="77777777" w:rsidR="004A7034" w:rsidRPr="00EE46CF" w:rsidRDefault="004A7034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5B410A9" w14:textId="56446E42" w:rsidR="003265B6" w:rsidRPr="00005480" w:rsidRDefault="003265B6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   </w:t>
            </w:r>
            <w:r w:rsidR="00EB7DD5" w:rsidRPr="00EE46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K410401 STRATEŠKI DOKUMENTI RAZVOJA  GRADA  CRIKVENICE</w:t>
            </w:r>
          </w:p>
        </w:tc>
      </w:tr>
      <w:tr w:rsidR="00005480" w:rsidRPr="00005480" w14:paraId="052748C8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2318" w14:textId="2A518B4A" w:rsidR="003265B6" w:rsidRPr="00EE46CF" w:rsidRDefault="003265B6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aktivnosti</w:t>
            </w:r>
          </w:p>
          <w:p w14:paraId="1B2F684E" w14:textId="03909A49" w:rsidR="00AE4A28" w:rsidRPr="00EE46CF" w:rsidRDefault="00AE4A28" w:rsidP="00AE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Zakon o strateškom planiranju i upravljanju razvojem RH, Uredba o smjernicama za izradu akata strateškog planiranja,  Uredba o načinu ustrojavanja, sadržaju i vođenju središnjeg elektroničkog registra razvojnih projekata, Pravilnik o rokovima i postupcima praćenja i izvještavanja o provedbi akata strateškog planiranja od nacionalnog značaja i značaja za jedinice lokalne i područne (regionalne) samouprave, </w:t>
            </w:r>
          </w:p>
          <w:p w14:paraId="7E470211" w14:textId="676A3E00" w:rsidR="003265B6" w:rsidRPr="00005480" w:rsidRDefault="00AE4A28" w:rsidP="00AE4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hr-HR"/>
              </w:rPr>
            </w:pPr>
            <w:r w:rsidRPr="00EE46C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Upute za korištenje informacijskog sustava za strateško planiranje i upravljanje razvojem.</w:t>
            </w:r>
          </w:p>
        </w:tc>
      </w:tr>
      <w:tr w:rsidR="00005480" w:rsidRPr="00005480" w14:paraId="04B0D3E1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FC4D9" w14:textId="77777777" w:rsidR="003265B6" w:rsidRPr="00270392" w:rsidRDefault="003265B6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703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Obrazloženje aktivnosti/projekta</w:t>
            </w:r>
          </w:p>
          <w:p w14:paraId="605B9A30" w14:textId="285659CA" w:rsidR="00063587" w:rsidRPr="005856F9" w:rsidRDefault="00063587" w:rsidP="000635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03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U planu je izrada </w:t>
            </w:r>
            <w:r w:rsidR="00EE46CF" w:rsidRPr="002703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Plana razvoja Grada Crikvenice 2023. -2030. godin </w:t>
            </w:r>
            <w:r w:rsidRPr="002703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te su planirana sredstva za istu </w:t>
            </w:r>
            <w:r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. Sredstva namijenjena za donacije 2</w:t>
            </w:r>
            <w:r w:rsidR="005856F9"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5856F9"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00,00 </w:t>
            </w:r>
            <w:r w:rsidR="00EE46CF"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€</w:t>
            </w:r>
            <w:r w:rsidRPr="005856F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 xml:space="preserve">  odnose se na TZ Grada Crikvenice. </w:t>
            </w:r>
            <w:r w:rsidRPr="0058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Gradovi Crikvenica i Novi Vinodolski te Vinodolska općina usvojili su Strategiju razvoja turizma Crikveničko-vinodolske rivijere (CVR) 2019.-2029. U okviru strategije izrađen je i akcijski plan koji definira 12 složenih programa, svaki s većim brojem aktivnosti koje je potrebno implementirati. Programi su raspoređeni u tri strateške cjeline – unapređenje upravljanja turizmom, unapređenje kvalitete i unapređenje iskustva gosta. Jedan od ključnih zadataka u 202</w:t>
            </w:r>
            <w:r w:rsidR="00EE46CF" w:rsidRPr="0058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8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godini je uspostavljanje učinkovitog integriranog destinacijskog upravljanja turizmom na rivijeri kao i izrada </w:t>
            </w:r>
            <w:r w:rsidR="00270392" w:rsidRPr="0058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 privedba </w:t>
            </w:r>
            <w:r w:rsidRPr="005856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akcijskih planova po programima definiranima u Strategiji koje provodi TZ Grada Crikvenica. </w:t>
            </w:r>
          </w:p>
          <w:p w14:paraId="10CF8869" w14:textId="27D059BA" w:rsidR="00894BE6" w:rsidRPr="00005480" w:rsidRDefault="00894BE6" w:rsidP="00B37F8A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8"/>
                <w:szCs w:val="18"/>
                <w:lang w:eastAsia="hr-HR"/>
              </w:rPr>
            </w:pPr>
          </w:p>
        </w:tc>
      </w:tr>
      <w:tr w:rsidR="00005480" w:rsidRPr="00005480" w14:paraId="7B6B400E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06E7" w14:textId="77777777" w:rsidR="003265B6" w:rsidRPr="0089570F" w:rsidRDefault="003265B6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89570F">
              <w:rPr>
                <w:rFonts w:ascii="Calibri" w:hAnsi="Calibri" w:cs="Calibri"/>
                <w:b/>
                <w:sz w:val="18"/>
                <w:szCs w:val="18"/>
              </w:rPr>
              <w:t>Razlog odstupanja od prošlogodišnjih projekcija</w:t>
            </w:r>
          </w:p>
          <w:p w14:paraId="2DED2876" w14:textId="505EACD2" w:rsidR="00316782" w:rsidRPr="0089570F" w:rsidRDefault="00EB7DD5" w:rsidP="00281FED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Odstupanje od prošlogodišnjih projekcija </w:t>
            </w:r>
            <w:r w:rsidR="00316782"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nastalo je s obzirom na dinamiku izrade </w:t>
            </w:r>
            <w:r w:rsidR="00894BE6" w:rsidRPr="0089570F">
              <w:rPr>
                <w:rFonts w:ascii="Calibri" w:hAnsi="Calibri" w:cs="Calibri"/>
                <w:bCs/>
                <w:sz w:val="18"/>
                <w:szCs w:val="18"/>
              </w:rPr>
              <w:t>Strategije Grada Crikvenica</w:t>
            </w:r>
            <w:r w:rsidR="00D11A62"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  <w:r w:rsidR="00894BE6"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11A62" w:rsidRPr="0089570F">
              <w:rPr>
                <w:rFonts w:ascii="Calibri" w:hAnsi="Calibri" w:cs="Calibri"/>
                <w:bCs/>
                <w:sz w:val="18"/>
                <w:szCs w:val="18"/>
              </w:rPr>
              <w:t>Planirana strategija razvoja Grada i analiza važeće planira</w:t>
            </w:r>
            <w:r w:rsidR="004A7034"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na je </w:t>
            </w:r>
            <w:r w:rsidR="00D11A62" w:rsidRPr="0089570F">
              <w:rPr>
                <w:rFonts w:ascii="Calibri" w:hAnsi="Calibri" w:cs="Calibri"/>
                <w:bCs/>
                <w:sz w:val="18"/>
                <w:szCs w:val="18"/>
              </w:rPr>
              <w:t>započeti u 2022</w:t>
            </w:r>
            <w:r w:rsidR="00281FED" w:rsidRPr="0089570F">
              <w:rPr>
                <w:rFonts w:ascii="Calibri" w:hAnsi="Calibri" w:cs="Calibri"/>
                <w:bCs/>
                <w:sz w:val="18"/>
                <w:szCs w:val="18"/>
              </w:rPr>
              <w:t xml:space="preserve"> godini no isto će se realizirati u 2023. godini.</w:t>
            </w:r>
          </w:p>
          <w:p w14:paraId="1D3AFF92" w14:textId="77777777" w:rsidR="003265B6" w:rsidRPr="0089570F" w:rsidRDefault="003265B6" w:rsidP="003167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005480" w:rsidRPr="00005480" w14:paraId="122E4AF0" w14:textId="77777777" w:rsidTr="00BF4D1C">
        <w:trPr>
          <w:trHeight w:val="30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3BA5" w14:textId="77777777" w:rsidR="00307812" w:rsidRPr="00005480" w:rsidRDefault="00307812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tbl>
            <w:tblPr>
              <w:tblW w:w="10338" w:type="dxa"/>
              <w:tblLayout w:type="fixed"/>
              <w:tblLook w:val="04A0" w:firstRow="1" w:lastRow="0" w:firstColumn="1" w:lastColumn="0" w:noHBand="0" w:noVBand="1"/>
            </w:tblPr>
            <w:tblGrid>
              <w:gridCol w:w="2149"/>
              <w:gridCol w:w="2268"/>
              <w:gridCol w:w="1134"/>
              <w:gridCol w:w="1134"/>
              <w:gridCol w:w="850"/>
              <w:gridCol w:w="851"/>
              <w:gridCol w:w="992"/>
              <w:gridCol w:w="960"/>
            </w:tblGrid>
            <w:tr w:rsidR="00005480" w:rsidRPr="00005480" w14:paraId="3C9AF62B" w14:textId="77777777" w:rsidTr="00BF4D1C">
              <w:trPr>
                <w:trHeight w:val="20"/>
              </w:trPr>
              <w:tc>
                <w:tcPr>
                  <w:tcW w:w="21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4ED08AF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472E010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60AB263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36A3B03" w14:textId="1417C9CA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="00281FED"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2</w:t>
                  </w: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D669AAA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448248F" w14:textId="02A87092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3</w:t>
                  </w: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EAF2949" w14:textId="187E9A4E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4</w:t>
                  </w: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00CFBD39" w14:textId="2B7C769B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5</w:t>
                  </w: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005480" w:rsidRPr="00005480" w14:paraId="686036F1" w14:textId="77777777" w:rsidTr="00BF4D1C">
              <w:trPr>
                <w:trHeight w:val="20"/>
              </w:trPr>
              <w:tc>
                <w:tcPr>
                  <w:tcW w:w="21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E2ADE2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Broj izrađenih strateških dokumenata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35895F" w14:textId="60C1586D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>Kako bi se Grad razvijao planski i pripremili projekti sukladno strateškim dokumentima izrađuju se strateški dokumenti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E3EC48" w14:textId="77777777" w:rsidR="00BF4D1C" w:rsidRPr="00EE46CF" w:rsidRDefault="00BF4D1C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kom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EC8023" w14:textId="0E4E9107" w:rsidR="00BF4D1C" w:rsidRPr="00EE46CF" w:rsidRDefault="007E68F5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FCB3D4" w14:textId="77777777" w:rsidR="00BF4D1C" w:rsidRPr="00EE46CF" w:rsidRDefault="00BF4D1C" w:rsidP="00BF4D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sz w:val="16"/>
                      <w:szCs w:val="16"/>
                      <w:lang w:eastAsia="hr-HR"/>
                    </w:rPr>
                    <w:t xml:space="preserve">Odsjek za gospodarstvo, turizam i projekte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8BA22F" w14:textId="7E42F000" w:rsidR="00BF4D1C" w:rsidRPr="00EE46CF" w:rsidRDefault="0089570F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D9BA92" w14:textId="77BD6CF7" w:rsidR="00BF4D1C" w:rsidRPr="00EE46CF" w:rsidRDefault="0089570F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D7302E" w14:textId="5968E3D0" w:rsidR="00BF4D1C" w:rsidRPr="00EE46CF" w:rsidRDefault="0089570F" w:rsidP="00BF4D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</w:pPr>
                  <w:r w:rsidRPr="00EE46CF">
                    <w:rPr>
                      <w:rFonts w:ascii="Calibri" w:eastAsia="Times New Roman" w:hAnsi="Calibri" w:cs="Calibri"/>
                      <w:i/>
                      <w:iCs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</w:tr>
          </w:tbl>
          <w:p w14:paraId="197E0263" w14:textId="3975D2E7" w:rsidR="00BF4D1C" w:rsidRPr="00005480" w:rsidRDefault="00BF4D1C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</w:tr>
    </w:tbl>
    <w:p w14:paraId="5C8545E1" w14:textId="77777777" w:rsidR="003265B6" w:rsidRPr="00005480" w:rsidRDefault="003265B6" w:rsidP="003265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668E8C72" w14:textId="51CF7A93" w:rsidR="003265B6" w:rsidRDefault="003265B6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1F9E3950" w14:textId="140978B9" w:rsidR="00005480" w:rsidRDefault="00005480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4A690FB2" w14:textId="77777777" w:rsidR="00005480" w:rsidRPr="00005480" w:rsidRDefault="00005480" w:rsidP="00A80F9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hr-HR"/>
        </w:rPr>
      </w:pPr>
    </w:p>
    <w:p w14:paraId="7F5FA2E8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0C47B7F9" w14:textId="77777777" w:rsidTr="00BF4D1C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F997F8" w14:textId="77777777" w:rsidR="00EB7DD5" w:rsidRPr="00801C7F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265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 4601 Kapitalna ulaganja u informatičke programe i hardwer</w:t>
            </w:r>
          </w:p>
        </w:tc>
      </w:tr>
      <w:tr w:rsidR="00EB7DD5" w:rsidRPr="003E2D5C" w14:paraId="79B964D4" w14:textId="77777777" w:rsidTr="00BF4D1C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8BBF" w14:textId="77777777" w:rsidR="00EB7DD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37F8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Opis programa, svrha programa</w:t>
            </w:r>
            <w:r w:rsidRPr="00037F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:</w:t>
            </w:r>
          </w:p>
          <w:p w14:paraId="0A22F263" w14:textId="77777777" w:rsidR="00EB7DD5" w:rsidRPr="00037F8A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Zbog poboljšanja efikasnosti rada gradske uprave i dostupnosti korisnicima, kontinuirano se ulaže u poboljšanje hardvera i softvera te u nove softvere. </w:t>
            </w:r>
          </w:p>
        </w:tc>
      </w:tr>
      <w:tr w:rsidR="00EB7DD5" w:rsidRPr="003E2D5C" w14:paraId="08018D24" w14:textId="77777777" w:rsidTr="00BF4D1C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B28BCC" w14:textId="67E1EBB1" w:rsidR="009A4FDF" w:rsidRDefault="00E0155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Ciljevi provedbe programa u razdoblju 2023.-20</w:t>
            </w:r>
            <w:r w:rsidR="005856F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25.</w:t>
            </w:r>
          </w:p>
          <w:p w14:paraId="2956F4FE" w14:textId="5BB2AD63" w:rsidR="00EB7DD5" w:rsidRPr="00037F8A" w:rsidRDefault="00EB7DD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BF4D1C">
              <w:rPr>
                <w:rFonts w:cstheme="minorHAnsi"/>
                <w:color w:val="000000" w:themeColor="text1"/>
                <w:sz w:val="18"/>
                <w:szCs w:val="18"/>
              </w:rPr>
              <w:t xml:space="preserve">Cilj 1:  </w:t>
            </w:r>
            <w:r w:rsidRPr="00B37F8A">
              <w:rPr>
                <w:rFonts w:cstheme="minorHAnsi"/>
                <w:color w:val="000000" w:themeColor="text1"/>
                <w:sz w:val="18"/>
                <w:szCs w:val="18"/>
              </w:rPr>
              <w:t>Cilj programa je postići adekvatan kapacitet, brzinu i sigurnost mreže i ostalog hardvera, što je preduvjet uspješnog funkcioniranja gradske uprave.</w:t>
            </w:r>
          </w:p>
        </w:tc>
      </w:tr>
    </w:tbl>
    <w:p w14:paraId="3E9061E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EB7DD5" w:rsidRPr="00F72F50" w14:paraId="4A4F26F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FC31" w14:textId="687CBA54" w:rsidR="004A7034" w:rsidRDefault="00EB7DD5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Procjena i </w:t>
            </w:r>
            <w:r w:rsidRPr="00221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ishodište potrebnih sredstava za aktivnosti/projekte unutar programa</w:t>
            </w:r>
          </w:p>
          <w:tbl>
            <w:tblPr>
              <w:tblW w:w="10373" w:type="dxa"/>
              <w:tblLayout w:type="fixed"/>
              <w:tblLook w:val="04A0" w:firstRow="1" w:lastRow="0" w:firstColumn="1" w:lastColumn="0" w:noHBand="0" w:noVBand="1"/>
            </w:tblPr>
            <w:tblGrid>
              <w:gridCol w:w="4418"/>
              <w:gridCol w:w="1092"/>
              <w:gridCol w:w="1000"/>
              <w:gridCol w:w="970"/>
              <w:gridCol w:w="982"/>
              <w:gridCol w:w="944"/>
              <w:gridCol w:w="967"/>
            </w:tblGrid>
            <w:tr w:rsidR="004A7034" w:rsidRPr="004A7034" w14:paraId="07FFDB2D" w14:textId="77777777" w:rsidTr="004A7034">
              <w:trPr>
                <w:trHeight w:val="450"/>
              </w:trPr>
              <w:tc>
                <w:tcPr>
                  <w:tcW w:w="4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9455A0" w14:textId="77777777" w:rsidR="004A7034" w:rsidRPr="004A7034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</w:t>
                  </w:r>
                </w:p>
              </w:tc>
              <w:tc>
                <w:tcPr>
                  <w:tcW w:w="1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5A5CE25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Izvršenje 2021.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4E20E06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2022.</w:t>
                  </w:r>
                </w:p>
              </w:tc>
              <w:tc>
                <w:tcPr>
                  <w:tcW w:w="97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F40D8F1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2023.</w:t>
                  </w:r>
                </w:p>
              </w:tc>
              <w:tc>
                <w:tcPr>
                  <w:tcW w:w="98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5CF6A71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2024.</w:t>
                  </w:r>
                </w:p>
              </w:tc>
              <w:tc>
                <w:tcPr>
                  <w:tcW w:w="94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1336989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Projekcija  2025.</w:t>
                  </w:r>
                </w:p>
              </w:tc>
              <w:tc>
                <w:tcPr>
                  <w:tcW w:w="967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C64899C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2023/2022</w:t>
                  </w:r>
                </w:p>
              </w:tc>
            </w:tr>
            <w:tr w:rsidR="004A7034" w:rsidRPr="004A7034" w14:paraId="05C54246" w14:textId="77777777" w:rsidTr="004A7034">
              <w:trPr>
                <w:trHeight w:val="315"/>
              </w:trPr>
              <w:tc>
                <w:tcPr>
                  <w:tcW w:w="441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D87F4FB" w14:textId="77777777" w:rsidR="004A7034" w:rsidRPr="004A7034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3CE44C1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B309ED0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34997B0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94CF3D0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3220DE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623C83A" w14:textId="77777777" w:rsidR="004A7034" w:rsidRPr="004A7034" w:rsidRDefault="004A7034" w:rsidP="004A70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</w:tr>
            <w:tr w:rsidR="004A7034" w:rsidRPr="004A7034" w14:paraId="6F35EB53" w14:textId="77777777" w:rsidTr="004A7034">
              <w:trPr>
                <w:trHeight w:val="315"/>
              </w:trPr>
              <w:tc>
                <w:tcPr>
                  <w:tcW w:w="44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8C2BCD" w14:textId="77777777" w:rsidR="004A7034" w:rsidRPr="004A7034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PROGRAM  4601  NABAVKA INFORMATIČKIH PROGRAMA I HARDWERA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B795667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18.514,81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F47BDF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17.253,97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640D44F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01D9A51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AB5D112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C22697F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115,92</w:t>
                  </w:r>
                </w:p>
              </w:tc>
            </w:tr>
            <w:tr w:rsidR="004A7034" w:rsidRPr="004A7034" w14:paraId="7E7A8317" w14:textId="77777777" w:rsidTr="004A7034">
              <w:trPr>
                <w:trHeight w:val="690"/>
              </w:trPr>
              <w:tc>
                <w:tcPr>
                  <w:tcW w:w="44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91C638" w14:textId="77777777" w:rsidR="004A7034" w:rsidRPr="004A7034" w:rsidRDefault="004A7034" w:rsidP="004A703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 K460101 NABAVKA INFORMATIČKIH PROGRAMA I HARDWERA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6DF796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18.514,81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BFF388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17.253,97</w:t>
                  </w:r>
                </w:p>
              </w:tc>
              <w:tc>
                <w:tcPr>
                  <w:tcW w:w="9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EEA888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2C45A9F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D57136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64EA3B" w14:textId="77777777" w:rsidR="004A7034" w:rsidRPr="004A7034" w:rsidRDefault="004A7034" w:rsidP="004A70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A703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115,92</w:t>
                  </w:r>
                </w:p>
              </w:tc>
            </w:tr>
          </w:tbl>
          <w:p w14:paraId="14050CC6" w14:textId="20C7BCC2" w:rsidR="004A7034" w:rsidRDefault="004A7034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A11420" w14:textId="77777777" w:rsidR="004A7034" w:rsidRDefault="004A7034" w:rsidP="004A70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C074D7" w14:textId="4B41D697" w:rsidR="00EB7DD5" w:rsidRPr="00F72F50" w:rsidRDefault="00EB7DD5" w:rsidP="004A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AE4A28" w:rsidRPr="00AE4A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K460101 NABAVKA INFORMATIČKIH PROGRAMA I HARDWERA</w:t>
            </w:r>
          </w:p>
        </w:tc>
      </w:tr>
      <w:tr w:rsidR="00EB7DD5" w:rsidRPr="00F72F50" w14:paraId="66B5B0C5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67073" w14:textId="77777777" w:rsidR="00EB7DD5" w:rsidRPr="00C246B5" w:rsidRDefault="00EB7DD5" w:rsidP="00BF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246B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 xml:space="preserve">Zakonske i druge pravne osnove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r-HR"/>
              </w:rPr>
              <w:t>aktivnosti</w:t>
            </w:r>
          </w:p>
          <w:p w14:paraId="7B64D7BF" w14:textId="0A178D42" w:rsidR="00EB7DD5" w:rsidRPr="00933E94" w:rsidRDefault="00AE4A28" w:rsidP="00BF4D1C">
            <w:pP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Zakon o javnoj nabavi</w:t>
            </w:r>
          </w:p>
        </w:tc>
      </w:tr>
      <w:tr w:rsidR="00EB7DD5" w:rsidRPr="00F72F50" w14:paraId="7FE7CDF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7578" w14:textId="77777777" w:rsidR="00EB7DD5" w:rsidRPr="00F74727" w:rsidRDefault="00EB7DD5" w:rsidP="00BF4D1C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F747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Obrazloženje aktivnosti/projekta</w:t>
            </w:r>
          </w:p>
          <w:p w14:paraId="60E658C1" w14:textId="55D9A4C6" w:rsidR="00EB7DD5" w:rsidRPr="00F74727" w:rsidRDefault="00063587" w:rsidP="00BF4D1C">
            <w:pPr>
              <w:spacing w:after="0" w:line="240" w:lineRule="auto"/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8"/>
                <w:szCs w:val="18"/>
                <w:lang w:eastAsia="hr-HR"/>
              </w:rPr>
              <w:t xml:space="preserve">Kako bi pratili nove tehnologije nužna su i ulaganja u softver i hardver. 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Da bi novoinstalirani i postojeći softver mogao nesmetano funkcionirati, nužna su ulaganja u hardver, za što je predviđen nastavak ulaganja. Ulaganja u hardver  su 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povećana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u odnosu na 20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22</w:t>
            </w:r>
            <w:r w:rsidRPr="00B37F8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. godinu iz razloga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potrebe ulaganja u server Grada koji se mora pojačati u uvjetima digitalizacije i pristupa proračunskih korisnika server</w:t>
            </w:r>
            <w:r w:rsidR="00C303FA"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>u</w:t>
            </w:r>
            <w: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  <w:t xml:space="preserve"> grada radi digitalne ovjere računa i slično.</w:t>
            </w:r>
          </w:p>
        </w:tc>
      </w:tr>
      <w:tr w:rsidR="00EB7DD5" w:rsidRPr="00F72F50" w14:paraId="6CEA77BC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2FA2" w14:textId="77777777" w:rsidR="00EB7DD5" w:rsidRPr="00281FED" w:rsidRDefault="00EB7DD5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281FED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Razlog odstupanja od prošlogodišnjih projekcija</w:t>
            </w:r>
          </w:p>
          <w:p w14:paraId="24019CD6" w14:textId="1A08C7EB" w:rsidR="00316782" w:rsidRPr="00C246B5" w:rsidRDefault="00EB7DD5" w:rsidP="00281FE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281FE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U odnosu na prošlogodišnje projekcije </w:t>
            </w:r>
            <w:r w:rsidR="00316782" w:rsidRPr="00281FE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planirani rashodi su umanjeni s obzirom na utvrđene stvarne potrebe za nabavkom oprema koja varira ovisno o broju djelatnika i potrebnim pojačanjima informatičke infrastrukture</w:t>
            </w:r>
            <w:r w:rsidR="00281FED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1C5779" w:rsidRPr="00F72F50" w14:paraId="62D7B4D2" w14:textId="77777777" w:rsidTr="00247510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22B9" w14:textId="77777777" w:rsidR="001C5779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1701"/>
              <w:gridCol w:w="1134"/>
              <w:gridCol w:w="992"/>
              <w:gridCol w:w="851"/>
              <w:gridCol w:w="992"/>
              <w:gridCol w:w="1134"/>
              <w:gridCol w:w="960"/>
            </w:tblGrid>
            <w:tr w:rsidR="001C5779" w:rsidRPr="001C5779" w14:paraId="599B718B" w14:textId="77777777" w:rsidTr="001C5779">
              <w:trPr>
                <w:trHeight w:val="1215"/>
              </w:trPr>
              <w:tc>
                <w:tcPr>
                  <w:tcW w:w="24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7EEB37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2125DB9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5A2334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Jedinica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A965063" w14:textId="61F9E4A0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Polazna vrijednost 20</w:t>
                  </w:r>
                  <w:r w:rsidR="00446044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396A9C7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15FBF988" w14:textId="76AB920B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EA09FC2" w14:textId="61E941EE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731DCF02" w14:textId="45FDDB4A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za 202</w:t>
                  </w:r>
                  <w:r w:rsidR="00281FE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1C5779" w:rsidRPr="001C5779" w14:paraId="663EA667" w14:textId="77777777" w:rsidTr="001C5779">
              <w:trPr>
                <w:trHeight w:val="690"/>
              </w:trPr>
              <w:tc>
                <w:tcPr>
                  <w:tcW w:w="24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5FB80A" w14:textId="77777777" w:rsidR="001C5779" w:rsidRPr="00B43083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43083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Dostupnost informatičkog sustava za zaposlenike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24299A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Nužno je osigurati nesmetan rad gradske uprave uz pristup informatičkom sustavu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5CEE36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% radnog vremena bez prekida u radu sustava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2B4B5C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F6D5AD" w14:textId="77777777" w:rsidR="001C5779" w:rsidRPr="001C5779" w:rsidRDefault="001C5779" w:rsidP="001C57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hr-HR"/>
                    </w:rPr>
                    <w:t>UO za financije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700BBD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7F2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E85CD8" w14:textId="77777777" w:rsidR="001C5779" w:rsidRPr="001C5779" w:rsidRDefault="001C5779" w:rsidP="001C57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C5779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98%</w:t>
                  </w:r>
                </w:p>
              </w:tc>
            </w:tr>
          </w:tbl>
          <w:p w14:paraId="352EE36E" w14:textId="396655D2" w:rsidR="001C5779" w:rsidRPr="00C246B5" w:rsidRDefault="001C5779" w:rsidP="00BF4D1C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A0057C3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33C667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F4F5348" w14:textId="77777777" w:rsidR="00EB7DD5" w:rsidRDefault="00EB7DD5" w:rsidP="00EB7D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EF5A4F9" w14:textId="70C6C3EA" w:rsidR="00EB7DD5" w:rsidRDefault="00EB7DD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456D196" w14:textId="61B3186B" w:rsidR="00EB7DD5" w:rsidRDefault="00EB7DD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BCB22A" w14:textId="180BC150" w:rsidR="00EB7DD5" w:rsidRDefault="00EB7DD5" w:rsidP="00A80F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EB7DD5" w:rsidSect="00756B42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2234" w14:textId="77777777" w:rsidR="00715907" w:rsidRDefault="00715907" w:rsidP="00473602">
      <w:pPr>
        <w:spacing w:after="0" w:line="240" w:lineRule="auto"/>
      </w:pPr>
      <w:r>
        <w:separator/>
      </w:r>
    </w:p>
  </w:endnote>
  <w:endnote w:type="continuationSeparator" w:id="0">
    <w:p w14:paraId="585B569F" w14:textId="77777777" w:rsidR="00715907" w:rsidRDefault="00715907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ED2846" w:rsidRDefault="00ED28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ED2846" w:rsidRDefault="00ED28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5918" w14:textId="77777777" w:rsidR="00715907" w:rsidRDefault="00715907" w:rsidP="00473602">
      <w:pPr>
        <w:spacing w:after="0" w:line="240" w:lineRule="auto"/>
      </w:pPr>
      <w:r>
        <w:separator/>
      </w:r>
    </w:p>
  </w:footnote>
  <w:footnote w:type="continuationSeparator" w:id="0">
    <w:p w14:paraId="0FAC823C" w14:textId="77777777" w:rsidR="00715907" w:rsidRDefault="00715907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257BB"/>
    <w:multiLevelType w:val="multilevel"/>
    <w:tmpl w:val="D2F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219118">
    <w:abstractNumId w:val="9"/>
  </w:num>
  <w:num w:numId="2" w16cid:durableId="592402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588326">
    <w:abstractNumId w:val="2"/>
  </w:num>
  <w:num w:numId="4" w16cid:durableId="1095325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5350428">
    <w:abstractNumId w:val="0"/>
  </w:num>
  <w:num w:numId="6" w16cid:durableId="2123644276">
    <w:abstractNumId w:val="16"/>
  </w:num>
  <w:num w:numId="7" w16cid:durableId="94636544">
    <w:abstractNumId w:val="7"/>
  </w:num>
  <w:num w:numId="8" w16cid:durableId="446042572">
    <w:abstractNumId w:val="14"/>
  </w:num>
  <w:num w:numId="9" w16cid:durableId="1776290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767839">
    <w:abstractNumId w:val="12"/>
  </w:num>
  <w:num w:numId="11" w16cid:durableId="333924546">
    <w:abstractNumId w:val="10"/>
  </w:num>
  <w:num w:numId="12" w16cid:durableId="19234434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7130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7758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519840">
    <w:abstractNumId w:val="11"/>
  </w:num>
  <w:num w:numId="16" w16cid:durableId="1528253389">
    <w:abstractNumId w:val="17"/>
  </w:num>
  <w:num w:numId="17" w16cid:durableId="1965652519">
    <w:abstractNumId w:val="15"/>
  </w:num>
  <w:num w:numId="18" w16cid:durableId="1377968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4583"/>
    <w:rsid w:val="00005480"/>
    <w:rsid w:val="000056CF"/>
    <w:rsid w:val="00025DF3"/>
    <w:rsid w:val="00026867"/>
    <w:rsid w:val="000313C4"/>
    <w:rsid w:val="00037F8A"/>
    <w:rsid w:val="00042094"/>
    <w:rsid w:val="00063587"/>
    <w:rsid w:val="00063B1C"/>
    <w:rsid w:val="000969B0"/>
    <w:rsid w:val="00097BE5"/>
    <w:rsid w:val="000D0C93"/>
    <w:rsid w:val="00111B35"/>
    <w:rsid w:val="00133146"/>
    <w:rsid w:val="00137586"/>
    <w:rsid w:val="00146F76"/>
    <w:rsid w:val="00154A93"/>
    <w:rsid w:val="0019144C"/>
    <w:rsid w:val="00195257"/>
    <w:rsid w:val="00197C10"/>
    <w:rsid w:val="001A5467"/>
    <w:rsid w:val="001A6E10"/>
    <w:rsid w:val="001B629B"/>
    <w:rsid w:val="001C5779"/>
    <w:rsid w:val="001D1669"/>
    <w:rsid w:val="001D3100"/>
    <w:rsid w:val="001E63BA"/>
    <w:rsid w:val="00211FFD"/>
    <w:rsid w:val="002132B0"/>
    <w:rsid w:val="00215244"/>
    <w:rsid w:val="00221F75"/>
    <w:rsid w:val="00247510"/>
    <w:rsid w:val="00270392"/>
    <w:rsid w:val="00281FED"/>
    <w:rsid w:val="002B0761"/>
    <w:rsid w:val="002C1F47"/>
    <w:rsid w:val="002C5784"/>
    <w:rsid w:val="002F2DA9"/>
    <w:rsid w:val="0030309D"/>
    <w:rsid w:val="00307812"/>
    <w:rsid w:val="00315234"/>
    <w:rsid w:val="00316782"/>
    <w:rsid w:val="003265B6"/>
    <w:rsid w:val="00326A05"/>
    <w:rsid w:val="00355830"/>
    <w:rsid w:val="003D1B08"/>
    <w:rsid w:val="003D56AD"/>
    <w:rsid w:val="00422F75"/>
    <w:rsid w:val="00423797"/>
    <w:rsid w:val="004459C7"/>
    <w:rsid w:val="00446044"/>
    <w:rsid w:val="00473602"/>
    <w:rsid w:val="00477417"/>
    <w:rsid w:val="004844F2"/>
    <w:rsid w:val="004A7034"/>
    <w:rsid w:val="004B0CE4"/>
    <w:rsid w:val="004B2530"/>
    <w:rsid w:val="004D77D0"/>
    <w:rsid w:val="0050164E"/>
    <w:rsid w:val="0056684C"/>
    <w:rsid w:val="00582E5A"/>
    <w:rsid w:val="005856F9"/>
    <w:rsid w:val="00605DFE"/>
    <w:rsid w:val="00623725"/>
    <w:rsid w:val="006311C6"/>
    <w:rsid w:val="00662563"/>
    <w:rsid w:val="0068182B"/>
    <w:rsid w:val="006A4A9A"/>
    <w:rsid w:val="006B6DEC"/>
    <w:rsid w:val="006E2744"/>
    <w:rsid w:val="00701C25"/>
    <w:rsid w:val="00715907"/>
    <w:rsid w:val="00727FC8"/>
    <w:rsid w:val="00756B42"/>
    <w:rsid w:val="00782867"/>
    <w:rsid w:val="00783F1B"/>
    <w:rsid w:val="007B0C95"/>
    <w:rsid w:val="007B1A2C"/>
    <w:rsid w:val="007D5A9C"/>
    <w:rsid w:val="007E68F5"/>
    <w:rsid w:val="007F7525"/>
    <w:rsid w:val="00801C7F"/>
    <w:rsid w:val="0082309A"/>
    <w:rsid w:val="008472B0"/>
    <w:rsid w:val="00894BE6"/>
    <w:rsid w:val="0089570F"/>
    <w:rsid w:val="008A127A"/>
    <w:rsid w:val="008A4102"/>
    <w:rsid w:val="008B0717"/>
    <w:rsid w:val="008B0FA2"/>
    <w:rsid w:val="008B2B6E"/>
    <w:rsid w:val="008B546D"/>
    <w:rsid w:val="008C3F5E"/>
    <w:rsid w:val="008E3BFD"/>
    <w:rsid w:val="008F3A35"/>
    <w:rsid w:val="00907AF3"/>
    <w:rsid w:val="00931DFB"/>
    <w:rsid w:val="00933E94"/>
    <w:rsid w:val="00977768"/>
    <w:rsid w:val="00984B4C"/>
    <w:rsid w:val="00996EA8"/>
    <w:rsid w:val="009A0C4B"/>
    <w:rsid w:val="009A4FDF"/>
    <w:rsid w:val="009C6EB6"/>
    <w:rsid w:val="009E3429"/>
    <w:rsid w:val="00A2073B"/>
    <w:rsid w:val="00A33E8C"/>
    <w:rsid w:val="00A36EE5"/>
    <w:rsid w:val="00A62DFD"/>
    <w:rsid w:val="00A64D9C"/>
    <w:rsid w:val="00A72594"/>
    <w:rsid w:val="00A737CF"/>
    <w:rsid w:val="00A80F9B"/>
    <w:rsid w:val="00A939DB"/>
    <w:rsid w:val="00AB4F3B"/>
    <w:rsid w:val="00AB4FF6"/>
    <w:rsid w:val="00AC0218"/>
    <w:rsid w:val="00AE4A28"/>
    <w:rsid w:val="00B033EB"/>
    <w:rsid w:val="00B0526B"/>
    <w:rsid w:val="00B357B8"/>
    <w:rsid w:val="00B37F8A"/>
    <w:rsid w:val="00B43083"/>
    <w:rsid w:val="00B650B7"/>
    <w:rsid w:val="00B65653"/>
    <w:rsid w:val="00B66D50"/>
    <w:rsid w:val="00B95A68"/>
    <w:rsid w:val="00BA0FA7"/>
    <w:rsid w:val="00BA6FD0"/>
    <w:rsid w:val="00BD3681"/>
    <w:rsid w:val="00BE1088"/>
    <w:rsid w:val="00BF4D1C"/>
    <w:rsid w:val="00C02C41"/>
    <w:rsid w:val="00C246B5"/>
    <w:rsid w:val="00C303FA"/>
    <w:rsid w:val="00C34EAF"/>
    <w:rsid w:val="00C35FA3"/>
    <w:rsid w:val="00C950C9"/>
    <w:rsid w:val="00C95B15"/>
    <w:rsid w:val="00CF7045"/>
    <w:rsid w:val="00CF789D"/>
    <w:rsid w:val="00D11A62"/>
    <w:rsid w:val="00D16219"/>
    <w:rsid w:val="00D310F0"/>
    <w:rsid w:val="00D42E84"/>
    <w:rsid w:val="00D44662"/>
    <w:rsid w:val="00D67C04"/>
    <w:rsid w:val="00DA453A"/>
    <w:rsid w:val="00DA65FB"/>
    <w:rsid w:val="00DC3068"/>
    <w:rsid w:val="00DC7828"/>
    <w:rsid w:val="00DD631D"/>
    <w:rsid w:val="00DD6BF3"/>
    <w:rsid w:val="00DE1077"/>
    <w:rsid w:val="00E01555"/>
    <w:rsid w:val="00E07C49"/>
    <w:rsid w:val="00E32D47"/>
    <w:rsid w:val="00E37106"/>
    <w:rsid w:val="00E45EDD"/>
    <w:rsid w:val="00EA1BA9"/>
    <w:rsid w:val="00EB7DD5"/>
    <w:rsid w:val="00ED2846"/>
    <w:rsid w:val="00ED3831"/>
    <w:rsid w:val="00EE46CF"/>
    <w:rsid w:val="00EF009A"/>
    <w:rsid w:val="00EF73BB"/>
    <w:rsid w:val="00F16A22"/>
    <w:rsid w:val="00F402FF"/>
    <w:rsid w:val="00F46FAB"/>
    <w:rsid w:val="00F55A27"/>
    <w:rsid w:val="00F5779E"/>
    <w:rsid w:val="00F62E12"/>
    <w:rsid w:val="00F74727"/>
    <w:rsid w:val="00FA793B"/>
    <w:rsid w:val="00FD0AAC"/>
    <w:rsid w:val="00FD0B72"/>
    <w:rsid w:val="00FD5529"/>
    <w:rsid w:val="00FF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AB69AD74-C87A-4329-9A06-D8DC8FBE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1523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1523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15234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52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5234"/>
    <w:rPr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7099</Words>
  <Characters>40469</Characters>
  <Application>Microsoft Office Word</Application>
  <DocSecurity>0</DocSecurity>
  <Lines>337</Lines>
  <Paragraphs>94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Mirjana Pobor</cp:lastModifiedBy>
  <cp:revision>8</cp:revision>
  <cp:lastPrinted>2021-11-11T12:37:00Z</cp:lastPrinted>
  <dcterms:created xsi:type="dcterms:W3CDTF">2022-11-09T16:26:00Z</dcterms:created>
  <dcterms:modified xsi:type="dcterms:W3CDTF">2022-11-14T11:40:00Z</dcterms:modified>
</cp:coreProperties>
</file>