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663"/>
      </w:tblGrid>
      <w:tr w:rsidR="003C6BAA" w:rsidRPr="003C6BAA" w14:paraId="2A753E73" w14:textId="77777777" w:rsidTr="00924A74">
        <w:trPr>
          <w:trHeight w:val="2400"/>
        </w:trPr>
        <w:tc>
          <w:tcPr>
            <w:tcW w:w="9493" w:type="dxa"/>
            <w:gridSpan w:val="2"/>
            <w:shd w:val="clear" w:color="auto" w:fill="C6D9F1"/>
            <w:vAlign w:val="center"/>
          </w:tcPr>
          <w:p w14:paraId="11FC085D" w14:textId="77777777" w:rsidR="009F2094" w:rsidRPr="00A2679A" w:rsidRDefault="009F2094" w:rsidP="009F2094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IZVJEŠĆE O PROVEDENOM SAVJETOVANJU SA ZAINTERESIRANOM JAVNOŠĆU</w:t>
            </w:r>
          </w:p>
          <w:p w14:paraId="558704BB" w14:textId="37CD4CF4" w:rsidR="009F2094" w:rsidRPr="00A2679A" w:rsidRDefault="009F2094" w:rsidP="009F2094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U POSTUPKU DONOŠENJA AKTA</w:t>
            </w:r>
          </w:p>
          <w:p w14:paraId="5C3DCEC4" w14:textId="77777777" w:rsidR="00193087" w:rsidRPr="00A2679A" w:rsidRDefault="000733C7" w:rsidP="00AD2D2A">
            <w:pPr>
              <w:jc w:val="center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  <w:t xml:space="preserve">Odluke o izmjenama i dopunama Odluke o prometovanju cestovnog turističkog vlaka na području Grada </w:t>
            </w:r>
          </w:p>
          <w:p w14:paraId="4A3222D3" w14:textId="7CF1C04A" w:rsidR="009F2094" w:rsidRPr="00A2679A" w:rsidRDefault="009F2094" w:rsidP="00CA25AC">
            <w:pPr>
              <w:spacing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i/>
                <w:sz w:val="24"/>
                <w:szCs w:val="24"/>
                <w:lang w:eastAsia="zh-CN"/>
              </w:rPr>
              <w:t xml:space="preserve">Nositelj izrade izvješća: </w:t>
            </w:r>
            <w:r w:rsidRPr="00A2679A">
              <w:rPr>
                <w:rFonts w:ascii="Arial" w:eastAsia="SimSun" w:hAnsi="Arial" w:cs="Arial"/>
                <w:sz w:val="24"/>
                <w:szCs w:val="24"/>
                <w:lang w:eastAsia="zh-CN"/>
              </w:rPr>
              <w:t>Grad Crikvenica - Upravni odjel za  komunalni sustav i zaštitu okoliša</w:t>
            </w:r>
          </w:p>
          <w:p w14:paraId="661ABA98" w14:textId="45A71435" w:rsidR="009F2094" w:rsidRPr="00193087" w:rsidRDefault="009F2094" w:rsidP="00AF5769">
            <w:pPr>
              <w:jc w:val="center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Crikvenica, </w:t>
            </w:r>
            <w:r w:rsidR="00AF5769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14</w:t>
            </w: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.</w:t>
            </w:r>
            <w:r w:rsidR="00AF5769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 rujna </w:t>
            </w: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2026.</w:t>
            </w:r>
          </w:p>
        </w:tc>
      </w:tr>
      <w:tr w:rsidR="003C6BAA" w:rsidRPr="003C6BAA" w14:paraId="3270C6E7" w14:textId="77777777" w:rsidTr="00924A74">
        <w:tc>
          <w:tcPr>
            <w:tcW w:w="2830" w:type="dxa"/>
            <w:vAlign w:val="center"/>
          </w:tcPr>
          <w:p w14:paraId="6EE98476" w14:textId="77777777" w:rsidR="003C6BAA" w:rsidRPr="00A2679A" w:rsidRDefault="003C6BAA" w:rsidP="000C6E0A">
            <w:pPr>
              <w:spacing w:before="120" w:after="120" w:line="240" w:lineRule="auto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Naziv nacrta prijedloga općeg akta</w:t>
            </w:r>
          </w:p>
        </w:tc>
        <w:tc>
          <w:tcPr>
            <w:tcW w:w="6663" w:type="dxa"/>
            <w:vAlign w:val="center"/>
          </w:tcPr>
          <w:p w14:paraId="790791C9" w14:textId="7BFC4671" w:rsidR="003C6BAA" w:rsidRPr="00193087" w:rsidRDefault="00162A58" w:rsidP="00DD6F72">
            <w:pPr>
              <w:jc w:val="both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  <w:t xml:space="preserve">Odluke o izmjenama i dopunama Odluke o prometovanju cestovnog turističkog vlaka na području Grada </w:t>
            </w:r>
          </w:p>
        </w:tc>
      </w:tr>
      <w:tr w:rsidR="003C6BAA" w:rsidRPr="003C6BAA" w14:paraId="1924536B" w14:textId="77777777" w:rsidTr="00924A74">
        <w:tc>
          <w:tcPr>
            <w:tcW w:w="2830" w:type="dxa"/>
          </w:tcPr>
          <w:p w14:paraId="2B8B6190" w14:textId="74152CAF" w:rsidR="003C6BAA" w:rsidRPr="00A2679A" w:rsidRDefault="004A4629" w:rsidP="003C6BAA">
            <w:pPr>
              <w:spacing w:before="120" w:after="120" w:line="240" w:lineRule="auto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N</w:t>
            </w:r>
            <w:r w:rsidR="003C6BAA"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aziv stvaratelja - upravnog tijela nadležnog za izradu nacrta prijedloga </w:t>
            </w:r>
            <w:r w:rsidR="00AD3F7D"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DC7A0A"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Odluke</w:t>
            </w:r>
          </w:p>
        </w:tc>
        <w:tc>
          <w:tcPr>
            <w:tcW w:w="6663" w:type="dxa"/>
            <w:vAlign w:val="center"/>
          </w:tcPr>
          <w:p w14:paraId="1D2A9C65" w14:textId="77777777" w:rsidR="003C6BAA" w:rsidRP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Grad Crikvenica</w:t>
            </w:r>
          </w:p>
          <w:p w14:paraId="06BE8252" w14:textId="41A2B8BD" w:rsidR="003C6BAA" w:rsidRP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Upravni odjel za </w:t>
            </w:r>
            <w:r w:rsidR="002C2542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komunalni sustav i zaštitu okoliša</w:t>
            </w:r>
          </w:p>
          <w:p w14:paraId="559A3D09" w14:textId="77777777" w:rsidR="003C6BAA" w:rsidRPr="003C6BAA" w:rsidRDefault="003C6BAA" w:rsidP="003C6BAA">
            <w:pPr>
              <w:spacing w:before="120" w:after="0" w:line="276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7858909F" w14:textId="77777777" w:rsidTr="00924A74">
        <w:tc>
          <w:tcPr>
            <w:tcW w:w="2830" w:type="dxa"/>
          </w:tcPr>
          <w:p w14:paraId="21A0FED9" w14:textId="35BB2FFC" w:rsidR="003C6BAA" w:rsidRPr="00A2679A" w:rsidRDefault="000C6E0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Objava dokumenata za savjetovanje</w:t>
            </w:r>
          </w:p>
        </w:tc>
        <w:tc>
          <w:tcPr>
            <w:tcW w:w="6663" w:type="dxa"/>
            <w:vAlign w:val="center"/>
          </w:tcPr>
          <w:p w14:paraId="385D8F8B" w14:textId="69239A9D" w:rsidR="003C6BAA" w:rsidRPr="00FE63B1" w:rsidRDefault="00FE63B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bCs/>
                <w:sz w:val="24"/>
                <w:szCs w:val="24"/>
                <w:lang w:eastAsia="zh-CN"/>
              </w:rPr>
            </w:pPr>
            <w:hyperlink r:id="rId4" w:history="1">
              <w:r w:rsidRPr="00FE63B1">
                <w:rPr>
                  <w:rStyle w:val="Hiperveza"/>
                  <w:rFonts w:ascii="Arial" w:eastAsia="Simsun (Founder Extended)" w:hAnsi="Arial" w:cs="Arial"/>
                  <w:bCs/>
                  <w:sz w:val="24"/>
                  <w:szCs w:val="24"/>
                  <w:lang w:eastAsia="zh-CN"/>
                </w:rPr>
                <w:t>https://www.crikvenica.hr/odluka-o-izmjenama-i-dopunama-odluke-o-prometovanju-cestovnog-turistickog-vlaka/</w:t>
              </w:r>
            </w:hyperlink>
          </w:p>
        </w:tc>
      </w:tr>
      <w:tr w:rsidR="003C6BAA" w:rsidRPr="003C6BAA" w14:paraId="1C186EC6" w14:textId="77777777" w:rsidTr="00924A74">
        <w:trPr>
          <w:trHeight w:val="2304"/>
        </w:trPr>
        <w:tc>
          <w:tcPr>
            <w:tcW w:w="2830" w:type="dxa"/>
          </w:tcPr>
          <w:p w14:paraId="405B79DB" w14:textId="52B0D3D6" w:rsidR="003C6BAA" w:rsidRPr="00A2679A" w:rsidDel="005D53AE" w:rsidRDefault="00336631" w:rsidP="005324A5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Cilj i glavne teme savjetovanja</w:t>
            </w:r>
          </w:p>
        </w:tc>
        <w:tc>
          <w:tcPr>
            <w:tcW w:w="6663" w:type="dxa"/>
          </w:tcPr>
          <w:p w14:paraId="105E9503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17874E63" w14:textId="30123DCC" w:rsidR="003C6BAA" w:rsidRPr="00140D3F" w:rsidRDefault="00596A13" w:rsidP="00596A13">
            <w:pPr>
              <w:spacing w:before="120" w:after="120" w:line="240" w:lineRule="auto"/>
              <w:jc w:val="both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40D3F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Cilj savjetovanja je upoznati zainteresiranu javnost s predloženim izmjenama Odluke te omogućiti dostavu mišljenja, primjedbi i prijedloga. Predloženim izmjenama utvrđuje se raspon cijene vozne karte za prijevoz cestovnim turističkim vlakom od 4,00 do 6,00 EUR za vožnju u jednom smjeru, neovisno o dužini vožnje, te se utvrđuje početni iznos godišnje naknade za korištenje površine javne namjene u iznosu od 7.000,00 EUR.</w:t>
            </w:r>
          </w:p>
          <w:p w14:paraId="3CD6EB94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300F7AE1" w14:textId="77777777" w:rsidTr="00853D3B">
        <w:trPr>
          <w:trHeight w:val="814"/>
        </w:trPr>
        <w:tc>
          <w:tcPr>
            <w:tcW w:w="2830" w:type="dxa"/>
          </w:tcPr>
          <w:p w14:paraId="705E6BE2" w14:textId="7594E39A" w:rsidR="003C6BAA" w:rsidRPr="00A2679A" w:rsidRDefault="0033663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Razdoblje provedbe savjetovanja</w:t>
            </w:r>
          </w:p>
        </w:tc>
        <w:tc>
          <w:tcPr>
            <w:tcW w:w="6663" w:type="dxa"/>
            <w:tcBorders>
              <w:right w:val="single" w:sz="4" w:space="0" w:color="auto"/>
            </w:tcBorders>
          </w:tcPr>
          <w:p w14:paraId="715DA1A7" w14:textId="35A46C74" w:rsidR="003C6BAA" w:rsidRPr="00505109" w:rsidRDefault="00FE63B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bCs/>
                <w:i/>
                <w:sz w:val="24"/>
                <w:szCs w:val="24"/>
                <w:lang w:eastAsia="zh-CN"/>
              </w:rPr>
            </w:pPr>
            <w:r w:rsidRPr="00505109">
              <w:rPr>
                <w:rFonts w:ascii="Arial" w:eastAsia="WenQuanYi Micro Hei" w:hAnsi="Arial" w:cs="Arial"/>
                <w:bCs/>
                <w:iCs/>
                <w:kern w:val="2"/>
                <w:lang w:eastAsia="zh-CN" w:bidi="hi-IN"/>
              </w:rPr>
              <w:t>od 1</w:t>
            </w:r>
            <w:r w:rsidR="00363A8A">
              <w:rPr>
                <w:rFonts w:ascii="Arial" w:eastAsia="WenQuanYi Micro Hei" w:hAnsi="Arial" w:cs="Arial"/>
                <w:bCs/>
                <w:iCs/>
                <w:kern w:val="2"/>
                <w:lang w:eastAsia="zh-CN" w:bidi="hi-IN"/>
              </w:rPr>
              <w:t>1</w:t>
            </w:r>
            <w:r w:rsidRPr="00505109">
              <w:rPr>
                <w:rFonts w:ascii="Arial" w:eastAsia="WenQuanYi Micro Hei" w:hAnsi="Arial" w:cs="Arial"/>
                <w:bCs/>
                <w:iCs/>
                <w:kern w:val="2"/>
                <w:lang w:eastAsia="zh-CN" w:bidi="hi-IN"/>
              </w:rPr>
              <w:t>. kolovoza 2026. godine do 1</w:t>
            </w:r>
            <w:r w:rsidR="00363A8A">
              <w:rPr>
                <w:rFonts w:ascii="Arial" w:eastAsia="WenQuanYi Micro Hei" w:hAnsi="Arial" w:cs="Arial"/>
                <w:bCs/>
                <w:iCs/>
                <w:kern w:val="2"/>
                <w:lang w:eastAsia="zh-CN" w:bidi="hi-IN"/>
              </w:rPr>
              <w:t>1</w:t>
            </w:r>
            <w:r w:rsidRPr="00505109">
              <w:rPr>
                <w:rFonts w:ascii="Arial" w:eastAsia="WenQuanYi Micro Hei" w:hAnsi="Arial" w:cs="Arial"/>
                <w:bCs/>
                <w:iCs/>
                <w:kern w:val="2"/>
                <w:lang w:eastAsia="zh-CN" w:bidi="hi-IN"/>
              </w:rPr>
              <w:t>. rujna 2026. godine</w:t>
            </w:r>
          </w:p>
        </w:tc>
      </w:tr>
      <w:tr w:rsidR="003C6BAA" w:rsidRPr="003C6BAA" w14:paraId="6CCED883" w14:textId="77777777" w:rsidTr="00853D3B">
        <w:trPr>
          <w:trHeight w:val="861"/>
        </w:trPr>
        <w:tc>
          <w:tcPr>
            <w:tcW w:w="2830" w:type="dxa"/>
            <w:vAlign w:val="center"/>
          </w:tcPr>
          <w:p w14:paraId="5CE9E347" w14:textId="19CFB917" w:rsidR="003C6BAA" w:rsidRPr="00A2679A" w:rsidRDefault="0033663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A2679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Ostali oblici savjetovanja s javnošću</w:t>
            </w:r>
          </w:p>
        </w:tc>
        <w:tc>
          <w:tcPr>
            <w:tcW w:w="6663" w:type="dxa"/>
          </w:tcPr>
          <w:p w14:paraId="13C0F6F5" w14:textId="42CAAE83" w:rsidR="003C6BAA" w:rsidRPr="00FA649A" w:rsidRDefault="00853D3B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FA649A">
              <w:rPr>
                <w:rFonts w:ascii="Arial" w:eastAsia="SimSun" w:hAnsi="Arial" w:cs="Arial"/>
                <w:bCs/>
                <w:iCs/>
                <w:sz w:val="24"/>
                <w:szCs w:val="24"/>
                <w:lang w:eastAsia="zh-CN"/>
              </w:rPr>
              <w:t>U naznačenom razdoblju nisu zaprimljene primjedbe</w:t>
            </w:r>
          </w:p>
        </w:tc>
      </w:tr>
      <w:tr w:rsidR="003C6BAA" w:rsidRPr="003C6BAA" w14:paraId="46034965" w14:textId="77777777" w:rsidTr="00853D3B">
        <w:trPr>
          <w:trHeight w:val="983"/>
        </w:trPr>
        <w:tc>
          <w:tcPr>
            <w:tcW w:w="2830" w:type="dxa"/>
          </w:tcPr>
          <w:p w14:paraId="56550CAE" w14:textId="1F68C204" w:rsidR="003C6BAA" w:rsidRPr="0023444A" w:rsidRDefault="0033663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23444A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Troškovi provedenog savjetovanja</w:t>
            </w:r>
          </w:p>
        </w:tc>
        <w:tc>
          <w:tcPr>
            <w:tcW w:w="6663" w:type="dxa"/>
          </w:tcPr>
          <w:p w14:paraId="17D4490E" w14:textId="3ADBD98D" w:rsidR="003C6BAA" w:rsidRPr="003C3DB7" w:rsidRDefault="003C3DB7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3DB7">
              <w:rPr>
                <w:rFonts w:ascii="Arial" w:eastAsia="SimSun" w:hAnsi="Arial" w:cs="Arial"/>
                <w:bCs/>
                <w:iCs/>
                <w:sz w:val="24"/>
                <w:szCs w:val="24"/>
                <w:lang w:eastAsia="zh-CN"/>
              </w:rPr>
              <w:t>Provedba internetskog savjetovanja nije uzrokovala dodatne financijske troškove.</w:t>
            </w:r>
          </w:p>
        </w:tc>
      </w:tr>
    </w:tbl>
    <w:p w14:paraId="69AF9776" w14:textId="77777777" w:rsidR="002F7DFD" w:rsidRDefault="002F7DFD" w:rsidP="002F7DFD">
      <w:pPr>
        <w:spacing w:line="240" w:lineRule="auto"/>
        <w:jc w:val="both"/>
        <w:rPr>
          <w:rFonts w:ascii="Arial" w:eastAsia="SimSun" w:hAnsi="Arial" w:cs="Arial"/>
          <w:bCs/>
          <w:iCs/>
          <w:sz w:val="24"/>
          <w:szCs w:val="24"/>
          <w:lang w:eastAsia="zh-CN"/>
        </w:rPr>
      </w:pPr>
    </w:p>
    <w:p w14:paraId="25FF7599" w14:textId="791304E4" w:rsidR="002F7DFD" w:rsidRPr="002F7DFD" w:rsidRDefault="002F7DFD" w:rsidP="002F7DFD">
      <w:pPr>
        <w:spacing w:line="240" w:lineRule="auto"/>
        <w:jc w:val="both"/>
        <w:rPr>
          <w:rFonts w:ascii="Arial" w:eastAsia="SimSun" w:hAnsi="Arial" w:cs="Arial"/>
          <w:bCs/>
          <w:iCs/>
          <w:sz w:val="24"/>
          <w:szCs w:val="24"/>
          <w:lang w:eastAsia="zh-CN"/>
        </w:rPr>
      </w:pPr>
      <w:r w:rsidRPr="002F7DFD">
        <w:rPr>
          <w:rFonts w:ascii="Arial" w:eastAsia="SimSun" w:hAnsi="Arial" w:cs="Arial"/>
          <w:bCs/>
          <w:iCs/>
          <w:sz w:val="24"/>
          <w:szCs w:val="24"/>
          <w:lang w:eastAsia="zh-CN"/>
        </w:rPr>
        <w:t xml:space="preserve">Izvješće o provedenom savjetovanju s javnošću objavljuje se na internetskim stranicama Grada Crikvenice: </w:t>
      </w:r>
      <w:hyperlink r:id="rId5" w:history="1">
        <w:r w:rsidRPr="002F7DFD">
          <w:rPr>
            <w:rStyle w:val="Hiperveza"/>
            <w:rFonts w:ascii="Arial" w:eastAsia="SimSun" w:hAnsi="Arial" w:cs="Arial"/>
            <w:bCs/>
            <w:iCs/>
            <w:sz w:val="24"/>
            <w:szCs w:val="24"/>
            <w:lang w:eastAsia="zh-CN"/>
          </w:rPr>
          <w:t>www.crikvenica.hr</w:t>
        </w:r>
      </w:hyperlink>
    </w:p>
    <w:p w14:paraId="544F261A" w14:textId="77777777" w:rsidR="002F7DFD" w:rsidRDefault="002F7DFD" w:rsidP="002F7DFD">
      <w:pPr>
        <w:spacing w:line="240" w:lineRule="auto"/>
        <w:jc w:val="both"/>
        <w:rPr>
          <w:rFonts w:eastAsia="Calibri" w:cs="Arial"/>
          <w:szCs w:val="24"/>
        </w:rPr>
      </w:pPr>
    </w:p>
    <w:p w14:paraId="1DE2C610" w14:textId="2BF136CB" w:rsidR="002F7DFD" w:rsidRDefault="002F7DFD" w:rsidP="002F7DFD">
      <w:pPr>
        <w:spacing w:after="0" w:line="240" w:lineRule="auto"/>
        <w:jc w:val="both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KLASA: </w:t>
      </w:r>
      <w:r w:rsidR="00A20DAF">
        <w:rPr>
          <w:rFonts w:eastAsia="Calibri" w:cs="Arial"/>
          <w:szCs w:val="24"/>
        </w:rPr>
        <w:t>340</w:t>
      </w:r>
      <w:r>
        <w:rPr>
          <w:rFonts w:eastAsia="Calibri" w:cs="Arial"/>
          <w:szCs w:val="24"/>
        </w:rPr>
        <w:t>-01/26-01/</w:t>
      </w:r>
      <w:r w:rsidR="00A20DAF">
        <w:rPr>
          <w:rFonts w:eastAsia="Calibri" w:cs="Arial"/>
          <w:szCs w:val="24"/>
        </w:rPr>
        <w:t>23</w:t>
      </w:r>
    </w:p>
    <w:p w14:paraId="46CA88EB" w14:textId="70311EDE" w:rsidR="002F7DFD" w:rsidRDefault="002F7DFD" w:rsidP="002F7DFD">
      <w:pPr>
        <w:spacing w:after="0" w:line="240" w:lineRule="auto"/>
        <w:jc w:val="both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UR.BROJ: </w:t>
      </w:r>
      <w:r w:rsidRPr="00FA5592">
        <w:rPr>
          <w:rFonts w:eastAsia="Calibri" w:cs="Arial"/>
          <w:szCs w:val="24"/>
        </w:rPr>
        <w:t>2170-5-06/02-26-</w:t>
      </w:r>
      <w:r w:rsidR="00D76A94">
        <w:rPr>
          <w:rFonts w:eastAsia="Calibri" w:cs="Arial"/>
          <w:szCs w:val="24"/>
        </w:rPr>
        <w:t>4</w:t>
      </w:r>
    </w:p>
    <w:p w14:paraId="432BEE0C" w14:textId="28AA4C7C" w:rsidR="00E3134C" w:rsidRDefault="00D76A94" w:rsidP="00E75A8D">
      <w:r w:rsidRPr="008D2A30">
        <w:rPr>
          <w:rFonts w:ascii="PDF417x" w:eastAsia="Times New Roman" w:hAnsi="PDF417x" w:cs="Arial"/>
          <w:color w:val="010101"/>
        </w:rPr>
        <w:t>+*</w:t>
      </w:r>
      <w:proofErr w:type="spellStart"/>
      <w:r w:rsidRPr="008D2A30">
        <w:rPr>
          <w:rFonts w:ascii="PDF417x" w:eastAsia="Times New Roman" w:hAnsi="PDF417x" w:cs="Arial"/>
          <w:color w:val="010101"/>
        </w:rPr>
        <w:t>xfs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pvs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Akl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cvA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xBj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tCi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htk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xdw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ohs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ttn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pBk</w:t>
      </w:r>
      <w:proofErr w:type="spellEnd"/>
      <w:r w:rsidRPr="008D2A30">
        <w:rPr>
          <w:rFonts w:ascii="PDF417x" w:eastAsia="Times New Roman" w:hAnsi="PDF417x" w:cs="Arial"/>
          <w:color w:val="010101"/>
        </w:rPr>
        <w:t>*-</w:t>
      </w:r>
      <w:r w:rsidRPr="008D2A30">
        <w:rPr>
          <w:rFonts w:ascii="PDF417x" w:eastAsia="Times New Roman" w:hAnsi="PDF417x" w:cs="Arial"/>
          <w:color w:val="010101"/>
        </w:rPr>
        <w:br/>
        <w:t>+*</w:t>
      </w:r>
      <w:proofErr w:type="spellStart"/>
      <w:r w:rsidRPr="008D2A30">
        <w:rPr>
          <w:rFonts w:ascii="PDF417x" w:eastAsia="Times New Roman" w:hAnsi="PDF417x" w:cs="Arial"/>
          <w:color w:val="010101"/>
        </w:rPr>
        <w:t>yqw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uwg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hjs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tDc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oxA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zbd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wpA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sfc</w:t>
      </w:r>
      <w:proofErr w:type="spellEnd"/>
      <w:r w:rsidRPr="008D2A30">
        <w:rPr>
          <w:rFonts w:ascii="PDF417x" w:eastAsia="Times New Roman" w:hAnsi="PDF417x" w:cs="Arial"/>
          <w:color w:val="010101"/>
        </w:rPr>
        <w:t>*krc*</w:t>
      </w:r>
      <w:proofErr w:type="spellStart"/>
      <w:r w:rsidRPr="008D2A30">
        <w:rPr>
          <w:rFonts w:ascii="PDF417x" w:eastAsia="Times New Roman" w:hAnsi="PDF417x" w:cs="Arial"/>
          <w:color w:val="010101"/>
        </w:rPr>
        <w:t>fsE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zew</w:t>
      </w:r>
      <w:proofErr w:type="spellEnd"/>
      <w:r w:rsidRPr="008D2A30">
        <w:rPr>
          <w:rFonts w:ascii="PDF417x" w:eastAsia="Times New Roman" w:hAnsi="PDF417x" w:cs="Arial"/>
          <w:color w:val="010101"/>
        </w:rPr>
        <w:t>*-</w:t>
      </w:r>
      <w:r w:rsidRPr="008D2A30">
        <w:rPr>
          <w:rFonts w:ascii="PDF417x" w:eastAsia="Times New Roman" w:hAnsi="PDF417x" w:cs="Arial"/>
          <w:color w:val="010101"/>
        </w:rPr>
        <w:br/>
        <w:t>+*</w:t>
      </w:r>
      <w:proofErr w:type="spellStart"/>
      <w:r w:rsidRPr="008D2A30">
        <w:rPr>
          <w:rFonts w:ascii="PDF417x" w:eastAsia="Times New Roman" w:hAnsi="PDF417x" w:cs="Arial"/>
          <w:color w:val="010101"/>
        </w:rPr>
        <w:t>eDs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lyd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lyd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lyd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lyd</w:t>
      </w:r>
      <w:proofErr w:type="spellEnd"/>
      <w:r w:rsidRPr="008D2A30">
        <w:rPr>
          <w:rFonts w:ascii="PDF417x" w:eastAsia="Times New Roman" w:hAnsi="PDF417x" w:cs="Arial"/>
          <w:color w:val="010101"/>
        </w:rPr>
        <w:t>*gaj*</w:t>
      </w:r>
      <w:proofErr w:type="spellStart"/>
      <w:r w:rsidRPr="008D2A30">
        <w:rPr>
          <w:rFonts w:ascii="PDF417x" w:eastAsia="Times New Roman" w:hAnsi="PDF417x" w:cs="Arial"/>
          <w:color w:val="010101"/>
        </w:rPr>
        <w:t>DlD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Dxv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rCi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okz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zfE</w:t>
      </w:r>
      <w:proofErr w:type="spellEnd"/>
      <w:r w:rsidRPr="008D2A30">
        <w:rPr>
          <w:rFonts w:ascii="PDF417x" w:eastAsia="Times New Roman" w:hAnsi="PDF417x" w:cs="Arial"/>
          <w:color w:val="010101"/>
        </w:rPr>
        <w:t>*-</w:t>
      </w:r>
      <w:r w:rsidRPr="008D2A30">
        <w:rPr>
          <w:rFonts w:ascii="PDF417x" w:eastAsia="Times New Roman" w:hAnsi="PDF417x" w:cs="Arial"/>
          <w:color w:val="010101"/>
        </w:rPr>
        <w:br/>
        <w:t>+*</w:t>
      </w:r>
      <w:proofErr w:type="spellStart"/>
      <w:r w:rsidRPr="008D2A30">
        <w:rPr>
          <w:rFonts w:ascii="PDF417x" w:eastAsia="Times New Roman" w:hAnsi="PDF417x" w:cs="Arial"/>
          <w:color w:val="010101"/>
        </w:rPr>
        <w:t>ftw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lpA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Brg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Fkg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rrB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lko</w:t>
      </w:r>
      <w:proofErr w:type="spellEnd"/>
      <w:r w:rsidRPr="008D2A30">
        <w:rPr>
          <w:rFonts w:ascii="PDF417x" w:eastAsia="Times New Roman" w:hAnsi="PDF417x" w:cs="Arial"/>
          <w:color w:val="010101"/>
        </w:rPr>
        <w:t>*CDD*</w:t>
      </w:r>
      <w:proofErr w:type="spellStart"/>
      <w:r w:rsidRPr="008D2A30">
        <w:rPr>
          <w:rFonts w:ascii="PDF417x" w:eastAsia="Times New Roman" w:hAnsi="PDF417x" w:cs="Arial"/>
          <w:color w:val="010101"/>
        </w:rPr>
        <w:t>ktc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pBk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CkE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onA</w:t>
      </w:r>
      <w:proofErr w:type="spellEnd"/>
      <w:r w:rsidRPr="008D2A30">
        <w:rPr>
          <w:rFonts w:ascii="PDF417x" w:eastAsia="Times New Roman" w:hAnsi="PDF417x" w:cs="Arial"/>
          <w:color w:val="010101"/>
        </w:rPr>
        <w:t>*-</w:t>
      </w:r>
      <w:r w:rsidRPr="008D2A30">
        <w:rPr>
          <w:rFonts w:ascii="PDF417x" w:eastAsia="Times New Roman" w:hAnsi="PDF417x" w:cs="Arial"/>
          <w:color w:val="010101"/>
        </w:rPr>
        <w:br/>
        <w:t>+*</w:t>
      </w:r>
      <w:proofErr w:type="spellStart"/>
      <w:r w:rsidRPr="008D2A30">
        <w:rPr>
          <w:rFonts w:ascii="PDF417x" w:eastAsia="Times New Roman" w:hAnsi="PDF417x" w:cs="Arial"/>
          <w:color w:val="010101"/>
        </w:rPr>
        <w:t>ftA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ajm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khx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yrj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zeb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EDt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owc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kdt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irs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qbl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uws</w:t>
      </w:r>
      <w:proofErr w:type="spellEnd"/>
      <w:r w:rsidRPr="008D2A30">
        <w:rPr>
          <w:rFonts w:ascii="PDF417x" w:eastAsia="Times New Roman" w:hAnsi="PDF417x" w:cs="Arial"/>
          <w:color w:val="010101"/>
        </w:rPr>
        <w:t>*-</w:t>
      </w:r>
      <w:r w:rsidRPr="008D2A30">
        <w:rPr>
          <w:rFonts w:ascii="PDF417x" w:eastAsia="Times New Roman" w:hAnsi="PDF417x" w:cs="Arial"/>
          <w:color w:val="010101"/>
        </w:rPr>
        <w:br/>
        <w:t>+*</w:t>
      </w:r>
      <w:proofErr w:type="spellStart"/>
      <w:r w:rsidRPr="008D2A30">
        <w:rPr>
          <w:rFonts w:ascii="PDF417x" w:eastAsia="Times New Roman" w:hAnsi="PDF417x" w:cs="Arial"/>
          <w:color w:val="010101"/>
        </w:rPr>
        <w:t>xjq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zFl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ixw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rCw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atw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qns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gFs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cFw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iEs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zfE</w:t>
      </w:r>
      <w:proofErr w:type="spellEnd"/>
      <w:r w:rsidRPr="008D2A30">
        <w:rPr>
          <w:rFonts w:ascii="PDF417x" w:eastAsia="Times New Roman" w:hAnsi="PDF417x" w:cs="Arial"/>
          <w:color w:val="010101"/>
        </w:rPr>
        <w:t>*</w:t>
      </w:r>
      <w:proofErr w:type="spellStart"/>
      <w:r w:rsidRPr="008D2A30">
        <w:rPr>
          <w:rFonts w:ascii="PDF417x" w:eastAsia="Times New Roman" w:hAnsi="PDF417x" w:cs="Arial"/>
          <w:color w:val="010101"/>
        </w:rPr>
        <w:t>uzq</w:t>
      </w:r>
      <w:proofErr w:type="spellEnd"/>
      <w:r w:rsidRPr="008D2A30">
        <w:rPr>
          <w:rFonts w:ascii="PDF417x" w:eastAsia="Times New Roman" w:hAnsi="PDF417x" w:cs="Arial"/>
          <w:color w:val="010101"/>
        </w:rPr>
        <w:t>*-</w:t>
      </w:r>
      <w:r w:rsidRPr="008D2A30">
        <w:rPr>
          <w:rFonts w:ascii="PDF417x" w:eastAsia="Times New Roman" w:hAnsi="PDF417x" w:cs="Arial"/>
          <w:color w:val="010101"/>
        </w:rPr>
        <w:br/>
      </w:r>
    </w:p>
    <w:sectPr w:rsidR="00E3134C" w:rsidSect="00C657E9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nQuanYi Micro Hei">
    <w:altName w:val="Times New Roman"/>
    <w:charset w:val="01"/>
    <w:family w:val="auto"/>
    <w:pitch w:val="variable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BAA"/>
    <w:rsid w:val="000556E8"/>
    <w:rsid w:val="00055F33"/>
    <w:rsid w:val="000615CE"/>
    <w:rsid w:val="000733C7"/>
    <w:rsid w:val="00086199"/>
    <w:rsid w:val="000A1EAB"/>
    <w:rsid w:val="000A2397"/>
    <w:rsid w:val="000B6263"/>
    <w:rsid w:val="000C535C"/>
    <w:rsid w:val="000C6E0A"/>
    <w:rsid w:val="00123963"/>
    <w:rsid w:val="00140D3F"/>
    <w:rsid w:val="00142991"/>
    <w:rsid w:val="00162A58"/>
    <w:rsid w:val="00193087"/>
    <w:rsid w:val="001F7681"/>
    <w:rsid w:val="00216457"/>
    <w:rsid w:val="00216D3F"/>
    <w:rsid w:val="0023444A"/>
    <w:rsid w:val="0024654E"/>
    <w:rsid w:val="002C2542"/>
    <w:rsid w:val="002F0C0F"/>
    <w:rsid w:val="002F7DFD"/>
    <w:rsid w:val="00334098"/>
    <w:rsid w:val="00336631"/>
    <w:rsid w:val="00363A8A"/>
    <w:rsid w:val="0038720C"/>
    <w:rsid w:val="003951C7"/>
    <w:rsid w:val="003C3DB7"/>
    <w:rsid w:val="003C6BAA"/>
    <w:rsid w:val="00400D91"/>
    <w:rsid w:val="004A4629"/>
    <w:rsid w:val="004D0972"/>
    <w:rsid w:val="004D4978"/>
    <w:rsid w:val="00505109"/>
    <w:rsid w:val="00516119"/>
    <w:rsid w:val="00531F00"/>
    <w:rsid w:val="005324A5"/>
    <w:rsid w:val="0053703A"/>
    <w:rsid w:val="00540D92"/>
    <w:rsid w:val="00596A13"/>
    <w:rsid w:val="00620EA3"/>
    <w:rsid w:val="00621319"/>
    <w:rsid w:val="0065585E"/>
    <w:rsid w:val="0067074A"/>
    <w:rsid w:val="006D5A22"/>
    <w:rsid w:val="0072179F"/>
    <w:rsid w:val="007703B5"/>
    <w:rsid w:val="00774BC5"/>
    <w:rsid w:val="007C3ADD"/>
    <w:rsid w:val="007D16D2"/>
    <w:rsid w:val="00853D3B"/>
    <w:rsid w:val="00917F4D"/>
    <w:rsid w:val="00924A74"/>
    <w:rsid w:val="00936A51"/>
    <w:rsid w:val="00970842"/>
    <w:rsid w:val="00971C94"/>
    <w:rsid w:val="009F2094"/>
    <w:rsid w:val="00A04BF0"/>
    <w:rsid w:val="00A20DAF"/>
    <w:rsid w:val="00A2679A"/>
    <w:rsid w:val="00A66EFE"/>
    <w:rsid w:val="00A6752A"/>
    <w:rsid w:val="00A95C29"/>
    <w:rsid w:val="00AC099A"/>
    <w:rsid w:val="00AD2D2A"/>
    <w:rsid w:val="00AD3F7D"/>
    <w:rsid w:val="00AF5769"/>
    <w:rsid w:val="00B04F00"/>
    <w:rsid w:val="00B3395E"/>
    <w:rsid w:val="00B341C4"/>
    <w:rsid w:val="00B40C04"/>
    <w:rsid w:val="00BB252E"/>
    <w:rsid w:val="00C60F19"/>
    <w:rsid w:val="00C670AF"/>
    <w:rsid w:val="00C876E7"/>
    <w:rsid w:val="00CA25AC"/>
    <w:rsid w:val="00CA3540"/>
    <w:rsid w:val="00CC2245"/>
    <w:rsid w:val="00CE4428"/>
    <w:rsid w:val="00D226A0"/>
    <w:rsid w:val="00D55F20"/>
    <w:rsid w:val="00D76A94"/>
    <w:rsid w:val="00DC7A0A"/>
    <w:rsid w:val="00DD2802"/>
    <w:rsid w:val="00DD5899"/>
    <w:rsid w:val="00DD6F72"/>
    <w:rsid w:val="00E04E22"/>
    <w:rsid w:val="00E1195E"/>
    <w:rsid w:val="00E22FD7"/>
    <w:rsid w:val="00E3134C"/>
    <w:rsid w:val="00E41C53"/>
    <w:rsid w:val="00E52AC7"/>
    <w:rsid w:val="00E72552"/>
    <w:rsid w:val="00E7402C"/>
    <w:rsid w:val="00E75A8D"/>
    <w:rsid w:val="00E76EC7"/>
    <w:rsid w:val="00E8403A"/>
    <w:rsid w:val="00F318DA"/>
    <w:rsid w:val="00F8257C"/>
    <w:rsid w:val="00F91C9E"/>
    <w:rsid w:val="00FA649A"/>
    <w:rsid w:val="00FD0C0D"/>
    <w:rsid w:val="00FD4696"/>
    <w:rsid w:val="00FE63B1"/>
    <w:rsid w:val="00FE6496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874C"/>
  <w15:chartTrackingRefBased/>
  <w15:docId w15:val="{DB4CC91F-2262-40B4-9CE8-6A44180E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E63B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E6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rikvenica.hr" TargetMode="External"/><Relationship Id="rId4" Type="http://schemas.openxmlformats.org/officeDocument/2006/relationships/hyperlink" Target="https://www.crikvenica.hr/odluka-o-izmjenama-i-dopunama-odluke-o-prometovanju-cestovnog-turistickog-vla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Jurica Nekić</cp:lastModifiedBy>
  <cp:revision>25</cp:revision>
  <cp:lastPrinted>2026-03-09T09:53:00Z</cp:lastPrinted>
  <dcterms:created xsi:type="dcterms:W3CDTF">2026-09-14T10:27:00Z</dcterms:created>
  <dcterms:modified xsi:type="dcterms:W3CDTF">2026-09-14T10:55:00Z</dcterms:modified>
</cp:coreProperties>
</file>